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5F" w:rsidRPr="006D6D52" w:rsidRDefault="00067A5F" w:rsidP="00067A5F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color w:val="000000"/>
          <w:sz w:val="28"/>
        </w:rPr>
      </w:pPr>
      <w:r w:rsidRPr="00670ECC">
        <w:rPr>
          <w:rFonts w:ascii="Arial" w:eastAsia="맑은 고딕" w:hAnsi="Arial"/>
          <w:b/>
          <w:noProof/>
          <w:sz w:val="24"/>
        </w:rPr>
        <w:t>3GPP</w:t>
      </w:r>
      <w:r w:rsidR="002C76E8">
        <w:rPr>
          <w:rFonts w:ascii="Arial" w:eastAsia="맑은 고딕" w:hAnsi="Arial" w:hint="eastAsia"/>
          <w:b/>
          <w:noProof/>
          <w:sz w:val="24"/>
        </w:rPr>
        <w:t xml:space="preserve"> </w:t>
      </w:r>
      <w:r w:rsidRPr="00670ECC">
        <w:rPr>
          <w:rFonts w:ascii="Arial" w:eastAsia="맑은 고딕" w:hAnsi="Arial"/>
          <w:b/>
          <w:noProof/>
          <w:sz w:val="24"/>
        </w:rPr>
        <w:t>TSG RAN WG</w:t>
      </w:r>
      <w:r>
        <w:rPr>
          <w:rFonts w:ascii="Arial" w:eastAsia="맑은 고딕" w:hAnsi="Arial" w:hint="eastAsia"/>
          <w:b/>
          <w:noProof/>
          <w:sz w:val="24"/>
        </w:rPr>
        <w:t>2</w:t>
      </w:r>
      <w:r w:rsidR="002C76E8">
        <w:rPr>
          <w:rFonts w:ascii="Arial" w:eastAsia="맑은 고딕" w:hAnsi="Arial"/>
          <w:b/>
          <w:noProof/>
          <w:sz w:val="24"/>
        </w:rPr>
        <w:t xml:space="preserve"> </w:t>
      </w:r>
      <w:r w:rsidR="00A91A94">
        <w:rPr>
          <w:rFonts w:ascii="Arial" w:eastAsia="맑은 고딕" w:hAnsi="Arial" w:hint="eastAsia"/>
          <w:b/>
          <w:noProof/>
          <w:sz w:val="24"/>
        </w:rPr>
        <w:t>#97</w:t>
      </w:r>
      <w:r w:rsidRPr="00670ECC">
        <w:rPr>
          <w:rFonts w:ascii="Arial" w:eastAsia="맑은 고딕" w:hAnsi="Arial"/>
          <w:b/>
          <w:i/>
          <w:noProof/>
          <w:sz w:val="28"/>
        </w:rPr>
        <w:tab/>
      </w:r>
      <w:r w:rsidR="00417E71" w:rsidRPr="00417E71">
        <w:rPr>
          <w:rFonts w:ascii="Arial" w:eastAsia="맑은 고딕" w:hAnsi="Arial"/>
          <w:b/>
          <w:i/>
          <w:noProof/>
          <w:color w:val="000000"/>
          <w:sz w:val="28"/>
        </w:rPr>
        <w:t>R2-1702003</w:t>
      </w:r>
      <w:bookmarkStart w:id="0" w:name="_GoBack"/>
      <w:bookmarkEnd w:id="0"/>
    </w:p>
    <w:p w:rsidR="00067A5F" w:rsidRPr="009045BA" w:rsidRDefault="00A91A94" w:rsidP="00067A5F">
      <w:pPr>
        <w:pStyle w:val="CRCoverPage"/>
        <w:spacing w:after="240"/>
        <w:rPr>
          <w:b/>
          <w:i/>
          <w:sz w:val="32"/>
          <w:szCs w:val="24"/>
          <w:lang w:eastAsia="ko-KR"/>
        </w:rPr>
      </w:pPr>
      <w:r w:rsidRPr="0095322C">
        <w:rPr>
          <w:rFonts w:eastAsia="맑은 고딕" w:cs="Arial" w:hint="eastAsia"/>
          <w:b/>
          <w:sz w:val="24"/>
          <w:szCs w:val="24"/>
          <w:lang w:eastAsia="ko-KR"/>
        </w:rPr>
        <w:t>Athens, Greece, 13</w:t>
      </w:r>
      <w:r w:rsidRPr="0095322C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Pr="0095322C">
        <w:rPr>
          <w:rFonts w:eastAsia="맑은 고딕" w:cs="Arial" w:hint="eastAsia"/>
          <w:b/>
          <w:sz w:val="24"/>
          <w:szCs w:val="24"/>
          <w:lang w:eastAsia="ko-KR"/>
        </w:rPr>
        <w:t xml:space="preserve"> to 17</w:t>
      </w:r>
      <w:r w:rsidRPr="0095322C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Pr="0095322C">
        <w:rPr>
          <w:rFonts w:eastAsia="맑은 고딕" w:cs="Arial" w:hint="eastAsia"/>
          <w:b/>
          <w:sz w:val="24"/>
          <w:szCs w:val="24"/>
          <w:lang w:eastAsia="ko-KR"/>
        </w:rPr>
        <w:t xml:space="preserve"> February 2017</w:t>
      </w:r>
      <w:r w:rsidR="009045BA" w:rsidRPr="009045BA">
        <w:rPr>
          <w:rFonts w:eastAsia="맑은 고딕" w:hint="eastAsia"/>
          <w:bCs/>
          <w:sz w:val="16"/>
          <w:szCs w:val="16"/>
          <w:lang w:eastAsia="ko-KR"/>
        </w:rPr>
        <w:t xml:space="preserve"> </w:t>
      </w:r>
      <w:r>
        <w:rPr>
          <w:rFonts w:eastAsia="맑은 고딕" w:hint="eastAsia"/>
          <w:bCs/>
          <w:sz w:val="16"/>
          <w:szCs w:val="16"/>
          <w:lang w:eastAsia="ko-KR"/>
        </w:rPr>
        <w:tab/>
        <w:t xml:space="preserve">                </w:t>
      </w:r>
      <w:r w:rsidR="009045BA" w:rsidRPr="00A91A94">
        <w:rPr>
          <w:rFonts w:eastAsia="맑은 고딕" w:hint="eastAsia"/>
          <w:b/>
          <w:bCs/>
          <w:i/>
          <w:szCs w:val="16"/>
          <w:lang w:eastAsia="ko-KR"/>
        </w:rPr>
        <w:t xml:space="preserve">Resubmission of </w:t>
      </w:r>
      <w:r w:rsidR="009045BA" w:rsidRPr="00A91A94">
        <w:rPr>
          <w:b/>
          <w:bCs/>
          <w:i/>
          <w:szCs w:val="16"/>
          <w:lang w:eastAsia="ja-JP"/>
        </w:rPr>
        <w:t>R</w:t>
      </w:r>
      <w:r w:rsidR="009045BA" w:rsidRPr="00A91A94">
        <w:rPr>
          <w:rFonts w:eastAsia="맑은 고딕" w:hint="eastAsia"/>
          <w:b/>
          <w:bCs/>
          <w:i/>
          <w:szCs w:val="16"/>
          <w:lang w:eastAsia="ko-KR"/>
        </w:rPr>
        <w:t>2</w:t>
      </w:r>
      <w:r w:rsidR="009045BA" w:rsidRPr="00A91A94">
        <w:rPr>
          <w:b/>
          <w:bCs/>
          <w:i/>
          <w:szCs w:val="16"/>
          <w:lang w:eastAsia="ja-JP"/>
        </w:rPr>
        <w:t>-</w:t>
      </w:r>
      <w:r w:rsidR="009045BA" w:rsidRPr="00A91A94">
        <w:rPr>
          <w:rFonts w:eastAsia="맑은 고딕" w:hint="eastAsia"/>
          <w:b/>
          <w:bCs/>
          <w:i/>
          <w:szCs w:val="16"/>
          <w:lang w:eastAsia="ko-KR"/>
        </w:rPr>
        <w:t>1700</w:t>
      </w:r>
      <w:r w:rsidRPr="00A91A94">
        <w:rPr>
          <w:rFonts w:eastAsia="맑은 고딕" w:hint="eastAsia"/>
          <w:b/>
          <w:bCs/>
          <w:i/>
          <w:szCs w:val="16"/>
          <w:lang w:eastAsia="ko-KR"/>
        </w:rPr>
        <w:t>607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Agenda Item: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A91A94">
        <w:rPr>
          <w:rFonts w:hint="eastAsia"/>
          <w:b/>
          <w:noProof/>
          <w:sz w:val="24"/>
          <w:lang w:eastAsia="ko-KR"/>
        </w:rPr>
        <w:t>10.3.1.1.5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</w:t>
      </w:r>
      <w:r>
        <w:rPr>
          <w:rFonts w:hint="eastAsia"/>
          <w:b/>
          <w:noProof/>
          <w:sz w:val="24"/>
          <w:lang w:eastAsia="ko-KR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b/>
          <w:noProof/>
          <w:sz w:val="24"/>
        </w:rPr>
        <w:t>Samsung</w:t>
      </w:r>
    </w:p>
    <w:p w:rsidR="00C87F7D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Title: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4A0BC7">
        <w:rPr>
          <w:rFonts w:hint="eastAsia"/>
          <w:b/>
          <w:noProof/>
          <w:sz w:val="24"/>
          <w:lang w:eastAsia="ko-KR"/>
        </w:rPr>
        <w:t xml:space="preserve">RLF and Its Recovery Procedures </w:t>
      </w:r>
      <w:r w:rsidR="00C87F7D" w:rsidRPr="004F6D40">
        <w:rPr>
          <w:rFonts w:hint="eastAsia"/>
          <w:b/>
          <w:noProof/>
          <w:sz w:val="24"/>
          <w:lang w:eastAsia="ko-KR"/>
        </w:rPr>
        <w:t>in NR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 w:rsidRPr="00670ECC">
        <w:rPr>
          <w:b/>
          <w:noProof/>
          <w:sz w:val="24"/>
        </w:rPr>
        <w:t>Document for:</w:t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rFonts w:hint="eastAsia"/>
          <w:b/>
          <w:noProof/>
          <w:sz w:val="24"/>
          <w:lang w:eastAsia="ko-KR"/>
        </w:rPr>
        <w:t>Discussion</w:t>
      </w:r>
      <w:r>
        <w:rPr>
          <w:b/>
          <w:noProof/>
          <w:sz w:val="24"/>
          <w:lang w:eastAsia="ko-KR"/>
        </w:rPr>
        <w:t>/Decision</w:t>
      </w:r>
    </w:p>
    <w:p w:rsidR="00D824BC" w:rsidRDefault="00D824BC" w:rsidP="00D824BC">
      <w:pPr>
        <w:pStyle w:val="1"/>
        <w:pBdr>
          <w:top w:val="single" w:sz="12" w:space="2" w:color="auto"/>
        </w:pBdr>
        <w:rPr>
          <w:rFonts w:eastAsia="맑은 고딕"/>
          <w:color w:val="auto"/>
          <w:lang w:val="en-US" w:eastAsia="ko-KR"/>
        </w:rPr>
      </w:pPr>
      <w:r w:rsidRPr="00670ECC">
        <w:rPr>
          <w:color w:val="auto"/>
          <w:lang w:val="en-US" w:eastAsia="ko-KR"/>
        </w:rPr>
        <w:t>Introduction</w:t>
      </w:r>
    </w:p>
    <w:p w:rsidR="00816439" w:rsidRDefault="00997987" w:rsidP="0083532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Handover and RLF (Radio Link Failure) are important mechanisms to support seamless mobility for UEs. In the last RAN2 #96 meeting, the following agreements about cell-level mobility (i.e., handover)</w:t>
      </w:r>
      <w:r w:rsidR="00816439">
        <w:rPr>
          <w:rFonts w:ascii="Times New Roman" w:hAnsi="Times New Roman" w:cs="Times New Roman" w:hint="eastAsia"/>
          <w:sz w:val="22"/>
        </w:rPr>
        <w:t xml:space="preserve"> were made.</w:t>
      </w:r>
    </w:p>
    <w:p w:rsidR="00921914" w:rsidRDefault="00921914" w:rsidP="0083532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B40435" w:rsidRPr="009579BD" w:rsidTr="00B40435">
        <w:tc>
          <w:tcPr>
            <w:tcW w:w="9944" w:type="dxa"/>
          </w:tcPr>
          <w:p w:rsidR="00B40435" w:rsidRDefault="009579BD" w:rsidP="00835320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Agreements:</w:t>
            </w:r>
          </w:p>
          <w:p w:rsidR="009579BD" w:rsidRDefault="009579BD" w:rsidP="00835320">
            <w:pPr>
              <w:pStyle w:val="a6"/>
              <w:numPr>
                <w:ilvl w:val="0"/>
                <w:numId w:val="42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 xml:space="preserve">The RRM measurement framework (measurement object, measurement id, reporting 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</w:rPr>
              <w:t>config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</w:rPr>
              <w:t>) in LTE as a baseline in NR.</w:t>
            </w:r>
          </w:p>
          <w:p w:rsidR="009579BD" w:rsidRDefault="009579BD" w:rsidP="00835320">
            <w:pPr>
              <w:pStyle w:val="a6"/>
              <w:numPr>
                <w:ilvl w:val="0"/>
                <w:numId w:val="42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9579BD">
              <w:rPr>
                <w:rFonts w:ascii="Times New Roman" w:hAnsi="Times New Roman" w:cs="Times New Roman" w:hint="eastAsia"/>
                <w:sz w:val="22"/>
              </w:rPr>
              <w:t>At least events like LTE A1-A6 and periodic will be supported for NR (modification to the events may be considered).</w:t>
            </w:r>
          </w:p>
          <w:p w:rsidR="009579BD" w:rsidRPr="009579BD" w:rsidRDefault="009579BD" w:rsidP="00835320">
            <w:pPr>
              <w:pStyle w:val="a6"/>
              <w:numPr>
                <w:ilvl w:val="0"/>
                <w:numId w:val="42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9579BD">
              <w:rPr>
                <w:rFonts w:ascii="Times New Roman" w:hAnsi="Times New Roman" w:cs="Times New Roman" w:hint="eastAsia"/>
                <w:sz w:val="22"/>
              </w:rPr>
              <w:t>Network based mobility shall reuse the same principles as LTE (Rel-13).</w:t>
            </w:r>
          </w:p>
        </w:tc>
      </w:tr>
    </w:tbl>
    <w:p w:rsidR="009579BD" w:rsidRDefault="009579BD" w:rsidP="0083532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817973" w:rsidRDefault="00816439" w:rsidP="0081797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addition, RAN1 also discussed how to treat link failure and/or blockage in the</w:t>
      </w:r>
      <w:r w:rsidR="009579BD">
        <w:rPr>
          <w:rFonts w:ascii="Times New Roman" w:hAnsi="Times New Roman" w:cs="Times New Roman" w:hint="eastAsia"/>
          <w:sz w:val="22"/>
        </w:rPr>
        <w:t xml:space="preserve"> last </w:t>
      </w:r>
      <w:r>
        <w:rPr>
          <w:rFonts w:ascii="Times New Roman" w:hAnsi="Times New Roman" w:cs="Times New Roman" w:hint="eastAsia"/>
          <w:sz w:val="22"/>
        </w:rPr>
        <w:t>#87 meeting and made the following agreements.</w:t>
      </w:r>
    </w:p>
    <w:p w:rsidR="009579BD" w:rsidRPr="009579BD" w:rsidRDefault="009579BD" w:rsidP="0081797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817973" w:rsidTr="00324B91">
        <w:tc>
          <w:tcPr>
            <w:tcW w:w="9944" w:type="dxa"/>
          </w:tcPr>
          <w:p w:rsidR="009579BD" w:rsidRDefault="009579BD" w:rsidP="00324B91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Agreements:</w:t>
            </w:r>
          </w:p>
          <w:p w:rsidR="009579BD" w:rsidRDefault="009579BD" w:rsidP="009579BD">
            <w:pPr>
              <w:pStyle w:val="a6"/>
              <w:numPr>
                <w:ilvl w:val="0"/>
                <w:numId w:val="43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NR should study the necessity of event-driven UE initiated UL transmission, e.g., in the event of beam quality degradation.</w:t>
            </w:r>
          </w:p>
          <w:p w:rsidR="00817973" w:rsidRPr="00817973" w:rsidRDefault="009579BD" w:rsidP="009579BD">
            <w:pPr>
              <w:pStyle w:val="a6"/>
              <w:numPr>
                <w:ilvl w:val="0"/>
                <w:numId w:val="44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E.g., due to UE mobility/rotation, blockage, and/or link failure, etc.</w:t>
            </w:r>
          </w:p>
        </w:tc>
      </w:tr>
    </w:tbl>
    <w:p w:rsidR="009579BD" w:rsidRDefault="009579BD" w:rsidP="007C4BFC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6C3D50" w:rsidRDefault="00131C49" w:rsidP="007C4BFC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contribution, we will focus on the situation where a UE experiences poor link quality in a serving cell while moving to a neighbor cell. Note that one of NR deployment scenarios can be dense small cells, where int</w:t>
      </w:r>
      <w:r w:rsidR="009711B2">
        <w:rPr>
          <w:rFonts w:ascii="Times New Roman" w:hAnsi="Times New Roman" w:cs="Times New Roman" w:hint="eastAsia"/>
          <w:sz w:val="22"/>
        </w:rPr>
        <w:t>er-cell interference is severe. Furthermore, in high frequency (above 6 GHz) cells, sudden drop in link quality may happen frequently due to a blockage or the UE</w:t>
      </w:r>
      <w:r w:rsidR="009711B2">
        <w:rPr>
          <w:rFonts w:ascii="Times New Roman" w:hAnsi="Times New Roman" w:cs="Times New Roman"/>
          <w:sz w:val="22"/>
        </w:rPr>
        <w:t>’</w:t>
      </w:r>
      <w:r w:rsidR="006C3D50">
        <w:rPr>
          <w:rFonts w:ascii="Times New Roman" w:hAnsi="Times New Roman" w:cs="Times New Roman" w:hint="eastAsia"/>
          <w:sz w:val="22"/>
        </w:rPr>
        <w:t xml:space="preserve">s rotation. In this context, it is valuable to investigate how the UE escapes from this situation </w:t>
      </w:r>
      <w:r w:rsidR="006A2926">
        <w:rPr>
          <w:rFonts w:ascii="Times New Roman" w:hAnsi="Times New Roman" w:cs="Times New Roman" w:hint="eastAsia"/>
          <w:sz w:val="22"/>
        </w:rPr>
        <w:t xml:space="preserve">efficiently. </w:t>
      </w:r>
      <w:r w:rsidR="00BC4219">
        <w:rPr>
          <w:rFonts w:ascii="Times New Roman" w:hAnsi="Times New Roman" w:cs="Times New Roman" w:hint="eastAsia"/>
          <w:sz w:val="22"/>
        </w:rPr>
        <w:t xml:space="preserve">Therefore, </w:t>
      </w:r>
      <w:r w:rsidR="006C3D50">
        <w:rPr>
          <w:rFonts w:ascii="Times New Roman" w:hAnsi="Times New Roman" w:cs="Times New Roman" w:hint="eastAsia"/>
          <w:sz w:val="22"/>
        </w:rPr>
        <w:t>we will</w:t>
      </w:r>
      <w:r w:rsidR="00E649E3">
        <w:rPr>
          <w:rFonts w:ascii="Times New Roman" w:hAnsi="Times New Roman" w:cs="Times New Roman" w:hint="eastAsia"/>
          <w:sz w:val="22"/>
        </w:rPr>
        <w:t xml:space="preserve"> </w:t>
      </w:r>
      <w:r w:rsidR="006C3D50">
        <w:rPr>
          <w:rFonts w:ascii="Times New Roman" w:hAnsi="Times New Roman" w:cs="Times New Roman" w:hint="eastAsia"/>
          <w:sz w:val="22"/>
        </w:rPr>
        <w:t>discuss the following issues.</w:t>
      </w:r>
    </w:p>
    <w:p w:rsidR="00DE2843" w:rsidRDefault="00D11195" w:rsidP="00DE2843">
      <w:pPr>
        <w:pStyle w:val="a6"/>
        <w:numPr>
          <w:ilvl w:val="0"/>
          <w:numId w:val="5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Fast RLF recovery during mobility in LTE</w:t>
      </w:r>
    </w:p>
    <w:p w:rsidR="00711F65" w:rsidRPr="00DE2843" w:rsidRDefault="00D11195" w:rsidP="00DE2843">
      <w:pPr>
        <w:pStyle w:val="a6"/>
        <w:numPr>
          <w:ilvl w:val="0"/>
          <w:numId w:val="5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DE2843">
        <w:rPr>
          <w:rFonts w:ascii="Times New Roman" w:hAnsi="Times New Roman" w:cs="Times New Roman" w:hint="eastAsia"/>
          <w:sz w:val="22"/>
        </w:rPr>
        <w:t>Necessity of fast RLF recovery in NR</w:t>
      </w:r>
    </w:p>
    <w:p w:rsidR="00415E4B" w:rsidRDefault="00C05652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 xml:space="preserve">Fast RLF Recovery during </w:t>
      </w:r>
      <w:r w:rsidR="00036872">
        <w:rPr>
          <w:rFonts w:eastAsiaTheme="minorEastAsia" w:hint="eastAsia"/>
          <w:color w:val="auto"/>
          <w:lang w:val="en-US" w:eastAsia="ko-KR"/>
        </w:rPr>
        <w:t xml:space="preserve">Mobility </w:t>
      </w:r>
      <w:r w:rsidR="001A3353">
        <w:rPr>
          <w:rFonts w:eastAsiaTheme="minorEastAsia" w:hint="eastAsia"/>
          <w:color w:val="auto"/>
          <w:lang w:val="en-US" w:eastAsia="ko-KR"/>
        </w:rPr>
        <w:t>in LTE</w:t>
      </w:r>
    </w:p>
    <w:p w:rsidR="005463EE" w:rsidRDefault="00F83BDE" w:rsidP="002D052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LTE, the RLF-related actions are defined for a UE to initiate the connection re-establishment procedure when the UE experiences poor link quality in a serving cell</w:t>
      </w:r>
      <w:r w:rsidR="009540B7">
        <w:rPr>
          <w:rFonts w:ascii="Times New Roman" w:hAnsi="Times New Roman" w:cs="Times New Roman" w:hint="eastAsia"/>
          <w:sz w:val="22"/>
        </w:rPr>
        <w:t xml:space="preserve"> [1]</w:t>
      </w:r>
      <w:r>
        <w:rPr>
          <w:rFonts w:ascii="Times New Roman" w:hAnsi="Times New Roman" w:cs="Times New Roman" w:hint="eastAsia"/>
          <w:sz w:val="22"/>
        </w:rPr>
        <w:t>. More specifica</w:t>
      </w:r>
      <w:r w:rsidR="005463EE">
        <w:rPr>
          <w:rFonts w:ascii="Times New Roman" w:hAnsi="Times New Roman" w:cs="Times New Roman" w:hint="eastAsia"/>
          <w:sz w:val="22"/>
        </w:rPr>
        <w:t xml:space="preserve">lly, the RLF-related timer T310 </w:t>
      </w:r>
      <w:r>
        <w:rPr>
          <w:rFonts w:ascii="Times New Roman" w:hAnsi="Times New Roman" w:cs="Times New Roman" w:hint="eastAsia"/>
          <w:sz w:val="22"/>
        </w:rPr>
        <w:t xml:space="preserve">operates as described in Table </w:t>
      </w:r>
      <w:r w:rsidR="007A7C7C">
        <w:rPr>
          <w:rFonts w:ascii="Times New Roman" w:hAnsi="Times New Roman" w:cs="Times New Roman" w:hint="eastAsia"/>
          <w:sz w:val="22"/>
        </w:rPr>
        <w:t>1</w:t>
      </w:r>
      <w:r>
        <w:rPr>
          <w:rFonts w:ascii="Times New Roman" w:hAnsi="Times New Roman" w:cs="Times New Roman" w:hint="eastAsia"/>
          <w:sz w:val="22"/>
        </w:rPr>
        <w:t>.</w:t>
      </w:r>
    </w:p>
    <w:p w:rsidR="00CF01C1" w:rsidRPr="0038193B" w:rsidRDefault="00CF01C1" w:rsidP="00CF01C1">
      <w:pPr>
        <w:pStyle w:val="a3"/>
        <w:keepNext/>
        <w:jc w:val="center"/>
        <w:rPr>
          <w:rFonts w:ascii="Times New Roman" w:hAnsi="Times New Roman" w:cs="Times New Roman"/>
          <w:sz w:val="22"/>
        </w:rPr>
      </w:pPr>
      <w:r w:rsidRPr="0038193B">
        <w:rPr>
          <w:rFonts w:ascii="Times New Roman" w:hAnsi="Times New Roman" w:cs="Times New Roman"/>
          <w:sz w:val="22"/>
        </w:rPr>
        <w:lastRenderedPageBreak/>
        <w:t xml:space="preserve">Table </w:t>
      </w:r>
      <w:r w:rsidRPr="0038193B">
        <w:rPr>
          <w:rFonts w:ascii="Times New Roman" w:hAnsi="Times New Roman" w:cs="Times New Roman"/>
          <w:sz w:val="22"/>
        </w:rPr>
        <w:fldChar w:fldCharType="begin"/>
      </w:r>
      <w:r w:rsidRPr="0038193B">
        <w:rPr>
          <w:rFonts w:ascii="Times New Roman" w:hAnsi="Times New Roman" w:cs="Times New Roman"/>
          <w:sz w:val="22"/>
        </w:rPr>
        <w:instrText xml:space="preserve"> SEQ Table \* ARABIC </w:instrText>
      </w:r>
      <w:r w:rsidRPr="0038193B">
        <w:rPr>
          <w:rFonts w:ascii="Times New Roman" w:hAnsi="Times New Roman" w:cs="Times New Roman"/>
          <w:sz w:val="22"/>
        </w:rPr>
        <w:fldChar w:fldCharType="separate"/>
      </w:r>
      <w:r w:rsidR="00134DB6">
        <w:rPr>
          <w:rFonts w:ascii="Times New Roman" w:hAnsi="Times New Roman" w:cs="Times New Roman"/>
          <w:noProof/>
          <w:sz w:val="22"/>
        </w:rPr>
        <w:t>1</w:t>
      </w:r>
      <w:r w:rsidRPr="0038193B">
        <w:rPr>
          <w:rFonts w:ascii="Times New Roman" w:hAnsi="Times New Roman" w:cs="Times New Roman"/>
          <w:sz w:val="22"/>
        </w:rPr>
        <w:fldChar w:fldCharType="end"/>
      </w:r>
      <w:r w:rsidR="0074061A">
        <w:rPr>
          <w:rFonts w:ascii="Times New Roman" w:hAnsi="Times New Roman" w:cs="Times New Roman" w:hint="eastAsia"/>
          <w:sz w:val="22"/>
        </w:rPr>
        <w:t xml:space="preserve"> Description of T310 for RLF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34"/>
        <w:gridCol w:w="2835"/>
        <w:gridCol w:w="2835"/>
        <w:gridCol w:w="2835"/>
      </w:tblGrid>
      <w:tr w:rsidR="00F83BDE" w:rsidTr="005463EE">
        <w:tc>
          <w:tcPr>
            <w:tcW w:w="1134" w:type="dxa"/>
            <w:vAlign w:val="center"/>
          </w:tcPr>
          <w:p w:rsidR="00F83BDE" w:rsidRPr="005463EE" w:rsidRDefault="00F83BDE" w:rsidP="005463EE">
            <w:pPr>
              <w:pStyle w:val="a6"/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5463EE">
              <w:rPr>
                <w:rFonts w:ascii="Arial" w:hAnsi="Arial" w:cs="Arial"/>
                <w:b/>
              </w:rPr>
              <w:t>Timer</w:t>
            </w:r>
          </w:p>
        </w:tc>
        <w:tc>
          <w:tcPr>
            <w:tcW w:w="2835" w:type="dxa"/>
            <w:vAlign w:val="center"/>
          </w:tcPr>
          <w:p w:rsidR="00F83BDE" w:rsidRPr="005463EE" w:rsidRDefault="00F83BDE" w:rsidP="005463EE">
            <w:pPr>
              <w:pStyle w:val="a6"/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5463EE">
              <w:rPr>
                <w:rFonts w:ascii="Arial" w:hAnsi="Arial" w:cs="Arial"/>
                <w:b/>
              </w:rPr>
              <w:t>Start</w:t>
            </w:r>
          </w:p>
        </w:tc>
        <w:tc>
          <w:tcPr>
            <w:tcW w:w="2835" w:type="dxa"/>
            <w:vAlign w:val="center"/>
          </w:tcPr>
          <w:p w:rsidR="00F83BDE" w:rsidRPr="005463EE" w:rsidRDefault="00F83BDE" w:rsidP="005463EE">
            <w:pPr>
              <w:pStyle w:val="a6"/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5463EE">
              <w:rPr>
                <w:rFonts w:ascii="Arial" w:hAnsi="Arial" w:cs="Arial"/>
                <w:b/>
              </w:rPr>
              <w:t>Stop</w:t>
            </w:r>
          </w:p>
        </w:tc>
        <w:tc>
          <w:tcPr>
            <w:tcW w:w="2835" w:type="dxa"/>
            <w:vAlign w:val="center"/>
          </w:tcPr>
          <w:p w:rsidR="00F83BDE" w:rsidRPr="005463EE" w:rsidRDefault="00F83BDE" w:rsidP="005463EE">
            <w:pPr>
              <w:pStyle w:val="a6"/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5463EE">
              <w:rPr>
                <w:rFonts w:ascii="Arial" w:hAnsi="Arial" w:cs="Arial"/>
                <w:b/>
              </w:rPr>
              <w:t>At expiry</w:t>
            </w:r>
          </w:p>
        </w:tc>
      </w:tr>
      <w:tr w:rsidR="00F83BDE" w:rsidTr="005463EE">
        <w:tc>
          <w:tcPr>
            <w:tcW w:w="1134" w:type="dxa"/>
            <w:vAlign w:val="center"/>
          </w:tcPr>
          <w:p w:rsidR="00F83BDE" w:rsidRPr="005463EE" w:rsidRDefault="00F83BDE" w:rsidP="005463EE">
            <w:pPr>
              <w:pStyle w:val="a6"/>
              <w:spacing w:line="312" w:lineRule="auto"/>
              <w:jc w:val="center"/>
              <w:rPr>
                <w:rFonts w:ascii="Arial" w:hAnsi="Arial" w:cs="Arial"/>
              </w:rPr>
            </w:pPr>
            <w:r w:rsidRPr="005463EE">
              <w:rPr>
                <w:rFonts w:ascii="Arial" w:hAnsi="Arial" w:cs="Arial"/>
              </w:rPr>
              <w:t>T310</w:t>
            </w:r>
          </w:p>
        </w:tc>
        <w:tc>
          <w:tcPr>
            <w:tcW w:w="2835" w:type="dxa"/>
            <w:vAlign w:val="center"/>
          </w:tcPr>
          <w:p w:rsidR="00F83BDE" w:rsidRPr="005463EE" w:rsidRDefault="00F83BDE" w:rsidP="005463EE">
            <w:pPr>
              <w:pStyle w:val="a6"/>
              <w:spacing w:line="312" w:lineRule="auto"/>
              <w:jc w:val="center"/>
              <w:rPr>
                <w:rFonts w:ascii="Arial" w:hAnsi="Arial" w:cs="Arial"/>
              </w:rPr>
            </w:pPr>
            <w:r w:rsidRPr="005463EE">
              <w:rPr>
                <w:rFonts w:ascii="Arial" w:hAnsi="Arial" w:cs="Arial"/>
              </w:rPr>
              <w:t>Upon detecting physical</w:t>
            </w:r>
            <w:r w:rsidR="005463EE" w:rsidRPr="005463EE">
              <w:rPr>
                <w:rFonts w:ascii="Arial" w:hAnsi="Arial" w:cs="Arial"/>
              </w:rPr>
              <w:t xml:space="preserve"> laye</w:t>
            </w:r>
            <w:r w:rsidR="005463EE">
              <w:rPr>
                <w:rFonts w:ascii="Arial" w:hAnsi="Arial" w:cs="Arial"/>
              </w:rPr>
              <w:t xml:space="preserve">r problems for the </w:t>
            </w:r>
            <w:proofErr w:type="spellStart"/>
            <w:r w:rsidR="005463EE">
              <w:rPr>
                <w:rFonts w:ascii="Arial" w:hAnsi="Arial" w:cs="Arial"/>
              </w:rPr>
              <w:t>PCell</w:t>
            </w:r>
            <w:proofErr w:type="spellEnd"/>
            <w:r w:rsidR="005463EE">
              <w:rPr>
                <w:rFonts w:ascii="Arial" w:hAnsi="Arial" w:cs="Arial" w:hint="eastAsia"/>
              </w:rPr>
              <w:t xml:space="preserve">, </w:t>
            </w:r>
            <w:r w:rsidR="005463EE">
              <w:rPr>
                <w:rFonts w:ascii="Arial" w:hAnsi="Arial" w:cs="Arial"/>
              </w:rPr>
              <w:t>i.e.,</w:t>
            </w:r>
            <w:r w:rsidR="005463EE">
              <w:rPr>
                <w:rFonts w:ascii="Arial" w:hAnsi="Arial" w:cs="Arial" w:hint="eastAsia"/>
              </w:rPr>
              <w:t xml:space="preserve"> </w:t>
            </w:r>
            <w:r w:rsidR="005463EE">
              <w:rPr>
                <w:rFonts w:ascii="Arial" w:hAnsi="Arial" w:cs="Arial"/>
              </w:rPr>
              <w:t>upon receiving N31</w:t>
            </w:r>
            <w:r w:rsidR="005463EE">
              <w:rPr>
                <w:rFonts w:ascii="Arial" w:hAnsi="Arial" w:cs="Arial" w:hint="eastAsia"/>
              </w:rPr>
              <w:t xml:space="preserve">0 </w:t>
            </w:r>
            <w:r w:rsidR="005463EE" w:rsidRPr="005463EE">
              <w:rPr>
                <w:rFonts w:ascii="Arial" w:hAnsi="Arial" w:cs="Arial"/>
              </w:rPr>
              <w:t>consecutive out-of-sync</w:t>
            </w:r>
            <w:r w:rsidR="005463EE">
              <w:rPr>
                <w:rFonts w:ascii="Arial" w:hAnsi="Arial" w:cs="Arial" w:hint="eastAsia"/>
              </w:rPr>
              <w:t xml:space="preserve"> </w:t>
            </w:r>
            <w:r w:rsidR="005463EE" w:rsidRPr="005463EE">
              <w:rPr>
                <w:rFonts w:ascii="Arial" w:hAnsi="Arial" w:cs="Arial"/>
              </w:rPr>
              <w:t>indications from lower layers</w:t>
            </w:r>
          </w:p>
        </w:tc>
        <w:tc>
          <w:tcPr>
            <w:tcW w:w="2835" w:type="dxa"/>
            <w:vAlign w:val="center"/>
          </w:tcPr>
          <w:p w:rsidR="00F83BDE" w:rsidRPr="005463EE" w:rsidRDefault="005463EE" w:rsidP="005463EE">
            <w:pPr>
              <w:pStyle w:val="a6"/>
              <w:spacing w:line="312" w:lineRule="auto"/>
              <w:jc w:val="center"/>
              <w:rPr>
                <w:rFonts w:ascii="Arial" w:hAnsi="Arial" w:cs="Arial"/>
              </w:rPr>
            </w:pPr>
            <w:r w:rsidRPr="005463EE">
              <w:rPr>
                <w:rFonts w:ascii="Arial" w:hAnsi="Arial" w:cs="Arial"/>
              </w:rPr>
              <w:t xml:space="preserve">Upon receiving N311 consecutive in-sync indications from lower layers for the </w:t>
            </w:r>
            <w:proofErr w:type="spellStart"/>
            <w:r w:rsidRPr="005463EE">
              <w:rPr>
                <w:rFonts w:ascii="Arial" w:hAnsi="Arial" w:cs="Arial"/>
              </w:rPr>
              <w:t>PCell</w:t>
            </w:r>
            <w:proofErr w:type="spellEnd"/>
            <w:r w:rsidRPr="005463EE">
              <w:rPr>
                <w:rFonts w:ascii="Arial" w:hAnsi="Arial" w:cs="Arial"/>
              </w:rPr>
              <w:t>, upon triggering the handover procedure and upon initiating the connection re-establishment procedure</w:t>
            </w:r>
          </w:p>
        </w:tc>
        <w:tc>
          <w:tcPr>
            <w:tcW w:w="2835" w:type="dxa"/>
            <w:vAlign w:val="center"/>
          </w:tcPr>
          <w:p w:rsidR="00F83BDE" w:rsidRPr="005463EE" w:rsidRDefault="005463EE" w:rsidP="005463EE">
            <w:pPr>
              <w:pStyle w:val="a6"/>
              <w:spacing w:line="312" w:lineRule="auto"/>
              <w:jc w:val="center"/>
              <w:rPr>
                <w:rFonts w:ascii="Arial" w:hAnsi="Arial" w:cs="Arial"/>
              </w:rPr>
            </w:pPr>
            <w:r w:rsidRPr="005463EE">
              <w:rPr>
                <w:rFonts w:ascii="Arial" w:hAnsi="Arial" w:cs="Arial"/>
              </w:rPr>
              <w:t>If security is not activated: go to RRC_IDLE else: initiate the connection re-establishment procedure</w:t>
            </w:r>
          </w:p>
        </w:tc>
      </w:tr>
    </w:tbl>
    <w:p w:rsidR="00E649E3" w:rsidRDefault="00E649E3" w:rsidP="002D052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670A27" w:rsidRDefault="00E649E3" w:rsidP="002D052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Note that the out-of sync indication is issued if the link quality is worse than the threshold </w:t>
      </w:r>
      <w:proofErr w:type="spellStart"/>
      <w:r>
        <w:rPr>
          <w:rFonts w:ascii="Times New Roman" w:hAnsi="Times New Roman" w:cs="Times New Roman" w:hint="eastAsia"/>
          <w:sz w:val="22"/>
        </w:rPr>
        <w:t>Qout</w:t>
      </w:r>
      <w:proofErr w:type="spellEnd"/>
      <w:r>
        <w:rPr>
          <w:rFonts w:ascii="Times New Roman" w:hAnsi="Times New Roman" w:cs="Times New Roman" w:hint="eastAsia"/>
          <w:sz w:val="22"/>
        </w:rPr>
        <w:t>, which is defined as the level at which the downlink radio link cannot be reliably received and shall correspond to 10 % block error rate of a h</w:t>
      </w:r>
      <w:r w:rsidR="00A45CE8">
        <w:rPr>
          <w:rFonts w:ascii="Times New Roman" w:hAnsi="Times New Roman" w:cs="Times New Roman" w:hint="eastAsia"/>
          <w:sz w:val="22"/>
        </w:rPr>
        <w:t>ypothetical PDCCH transmissio</w:t>
      </w:r>
      <w:r w:rsidR="00660F0D">
        <w:rPr>
          <w:rFonts w:ascii="Times New Roman" w:hAnsi="Times New Roman" w:cs="Times New Roman" w:hint="eastAsia"/>
          <w:sz w:val="22"/>
        </w:rPr>
        <w:t>n. Accordingly, the UE may not receive (or transmit) control information and data</w:t>
      </w:r>
      <w:r w:rsidR="000B4C44">
        <w:rPr>
          <w:rFonts w:ascii="Times New Roman" w:hAnsi="Times New Roman" w:cs="Times New Roman" w:hint="eastAsia"/>
          <w:sz w:val="22"/>
        </w:rPr>
        <w:t xml:space="preserve"> with a high probability </w:t>
      </w:r>
      <w:r w:rsidR="007222ED">
        <w:rPr>
          <w:rFonts w:ascii="Times New Roman" w:hAnsi="Times New Roman" w:cs="Times New Roman" w:hint="eastAsia"/>
          <w:sz w:val="22"/>
        </w:rPr>
        <w:t>while</w:t>
      </w:r>
      <w:r w:rsidR="000B4C44">
        <w:rPr>
          <w:rFonts w:ascii="Times New Roman" w:hAnsi="Times New Roman" w:cs="Times New Roman" w:hint="eastAsia"/>
          <w:sz w:val="22"/>
        </w:rPr>
        <w:t xml:space="preserve"> T310 is running.</w:t>
      </w:r>
    </w:p>
    <w:p w:rsidR="00817C90" w:rsidRPr="00817C90" w:rsidRDefault="00817C90" w:rsidP="002D052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144BD1" w:rsidRDefault="00144BD1" w:rsidP="00144BD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1E058F">
        <w:rPr>
          <w:rFonts w:ascii="Times New Roman" w:hAnsi="Times New Roman" w:cs="Times New Roman" w:hint="eastAsia"/>
          <w:b/>
          <w:sz w:val="22"/>
        </w:rPr>
        <w:t>Observation 1: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Pr="001E058F">
        <w:rPr>
          <w:rFonts w:ascii="Times New Roman" w:hAnsi="Times New Roman" w:cs="Times New Roman" w:hint="eastAsia"/>
          <w:i/>
          <w:sz w:val="22"/>
        </w:rPr>
        <w:t>In LTE, the operation of T310 is defined as a method for a UE to declare RLF.</w:t>
      </w:r>
    </w:p>
    <w:p w:rsidR="00144BD1" w:rsidRDefault="00144BD1" w:rsidP="00144BD1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Proposal 1: </w:t>
      </w:r>
      <w:r w:rsidRPr="00817C90">
        <w:rPr>
          <w:rFonts w:ascii="Times New Roman" w:hAnsi="Times New Roman" w:cs="Times New Roman"/>
          <w:i/>
          <w:sz w:val="22"/>
        </w:rPr>
        <w:t>The RLF procedure in LTE, which includes radio problem detection and RLF detection, should be considered as a baseline in NR.</w:t>
      </w:r>
    </w:p>
    <w:p w:rsidR="00817C90" w:rsidRPr="00144BD1" w:rsidRDefault="00817C90" w:rsidP="002D052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CF01C1" w:rsidRDefault="003F6A70" w:rsidP="002D052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To reduce the service interruption during T310, the operation of early T310 termination was introduced to LTE Rel-12. This operation considers </w:t>
      </w:r>
      <w:r w:rsidR="009B2E21">
        <w:rPr>
          <w:rFonts w:ascii="Times New Roman" w:hAnsi="Times New Roman" w:cs="Times New Roman" w:hint="eastAsia"/>
          <w:sz w:val="22"/>
        </w:rPr>
        <w:t>the situation where a UE finds a target cell fo</w:t>
      </w:r>
      <w:r w:rsidR="007222ED">
        <w:rPr>
          <w:rFonts w:ascii="Times New Roman" w:hAnsi="Times New Roman" w:cs="Times New Roman" w:hint="eastAsia"/>
          <w:sz w:val="22"/>
        </w:rPr>
        <w:t>r handover while</w:t>
      </w:r>
      <w:r w:rsidR="00F765B0">
        <w:rPr>
          <w:rFonts w:ascii="Times New Roman" w:hAnsi="Times New Roman" w:cs="Times New Roman" w:hint="eastAsia"/>
          <w:sz w:val="22"/>
        </w:rPr>
        <w:t xml:space="preserve"> T310 is running. More specifically, the timer T312, which control</w:t>
      </w:r>
      <w:r w:rsidR="00CF01C1">
        <w:rPr>
          <w:rFonts w:ascii="Times New Roman" w:hAnsi="Times New Roman" w:cs="Times New Roman" w:hint="eastAsia"/>
          <w:sz w:val="22"/>
        </w:rPr>
        <w:t xml:space="preserve"> when to declare RLF, operates as described in Table </w:t>
      </w:r>
      <w:r w:rsidR="007A7C7C">
        <w:rPr>
          <w:rFonts w:ascii="Times New Roman" w:hAnsi="Times New Roman" w:cs="Times New Roman" w:hint="eastAsia"/>
          <w:sz w:val="22"/>
        </w:rPr>
        <w:t>2</w:t>
      </w:r>
      <w:r w:rsidR="00CF01C1">
        <w:rPr>
          <w:rFonts w:ascii="Times New Roman" w:hAnsi="Times New Roman" w:cs="Times New Roman" w:hint="eastAsia"/>
          <w:sz w:val="22"/>
        </w:rPr>
        <w:t>.</w:t>
      </w:r>
    </w:p>
    <w:p w:rsidR="00CF01C1" w:rsidRPr="0038193B" w:rsidRDefault="00CF01C1" w:rsidP="00CF01C1">
      <w:pPr>
        <w:pStyle w:val="a3"/>
        <w:keepNext/>
        <w:jc w:val="center"/>
        <w:rPr>
          <w:rFonts w:ascii="Times New Roman" w:hAnsi="Times New Roman" w:cs="Times New Roman"/>
          <w:sz w:val="22"/>
        </w:rPr>
      </w:pPr>
      <w:r w:rsidRPr="0038193B">
        <w:rPr>
          <w:rFonts w:ascii="Times New Roman" w:hAnsi="Times New Roman" w:cs="Times New Roman"/>
          <w:sz w:val="22"/>
        </w:rPr>
        <w:t xml:space="preserve">Table </w:t>
      </w:r>
      <w:r w:rsidRPr="0038193B">
        <w:rPr>
          <w:rFonts w:ascii="Times New Roman" w:hAnsi="Times New Roman" w:cs="Times New Roman"/>
          <w:sz w:val="22"/>
        </w:rPr>
        <w:fldChar w:fldCharType="begin"/>
      </w:r>
      <w:r w:rsidRPr="0038193B">
        <w:rPr>
          <w:rFonts w:ascii="Times New Roman" w:hAnsi="Times New Roman" w:cs="Times New Roman"/>
          <w:sz w:val="22"/>
        </w:rPr>
        <w:instrText xml:space="preserve"> SEQ Table \* ARABIC </w:instrText>
      </w:r>
      <w:r w:rsidRPr="0038193B">
        <w:rPr>
          <w:rFonts w:ascii="Times New Roman" w:hAnsi="Times New Roman" w:cs="Times New Roman"/>
          <w:sz w:val="22"/>
        </w:rPr>
        <w:fldChar w:fldCharType="separate"/>
      </w:r>
      <w:r w:rsidR="00134DB6">
        <w:rPr>
          <w:rFonts w:ascii="Times New Roman" w:hAnsi="Times New Roman" w:cs="Times New Roman"/>
          <w:noProof/>
          <w:sz w:val="22"/>
        </w:rPr>
        <w:t>2</w:t>
      </w:r>
      <w:r w:rsidRPr="0038193B">
        <w:rPr>
          <w:rFonts w:ascii="Times New Roman" w:hAnsi="Times New Roman" w:cs="Times New Roman"/>
          <w:sz w:val="22"/>
        </w:rPr>
        <w:fldChar w:fldCharType="end"/>
      </w:r>
      <w:r w:rsidR="0074061A">
        <w:rPr>
          <w:rFonts w:ascii="Times New Roman" w:hAnsi="Times New Roman" w:cs="Times New Roman" w:hint="eastAsia"/>
          <w:sz w:val="22"/>
        </w:rPr>
        <w:t xml:space="preserve"> Description of T312 for early T310 termination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34"/>
        <w:gridCol w:w="2835"/>
        <w:gridCol w:w="2835"/>
        <w:gridCol w:w="2835"/>
      </w:tblGrid>
      <w:tr w:rsidR="0046760F" w:rsidTr="00C456DF">
        <w:tc>
          <w:tcPr>
            <w:tcW w:w="1134" w:type="dxa"/>
            <w:vAlign w:val="center"/>
          </w:tcPr>
          <w:p w:rsidR="0046760F" w:rsidRPr="005463EE" w:rsidRDefault="0046760F" w:rsidP="00C456DF">
            <w:pPr>
              <w:pStyle w:val="a6"/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5463EE">
              <w:rPr>
                <w:rFonts w:ascii="Arial" w:hAnsi="Arial" w:cs="Arial"/>
                <w:b/>
              </w:rPr>
              <w:t>Timer</w:t>
            </w:r>
          </w:p>
        </w:tc>
        <w:tc>
          <w:tcPr>
            <w:tcW w:w="2835" w:type="dxa"/>
            <w:vAlign w:val="center"/>
          </w:tcPr>
          <w:p w:rsidR="0046760F" w:rsidRPr="005463EE" w:rsidRDefault="0046760F" w:rsidP="00C456DF">
            <w:pPr>
              <w:pStyle w:val="a6"/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5463EE">
              <w:rPr>
                <w:rFonts w:ascii="Arial" w:hAnsi="Arial" w:cs="Arial"/>
                <w:b/>
              </w:rPr>
              <w:t>Start</w:t>
            </w:r>
          </w:p>
        </w:tc>
        <w:tc>
          <w:tcPr>
            <w:tcW w:w="2835" w:type="dxa"/>
            <w:vAlign w:val="center"/>
          </w:tcPr>
          <w:p w:rsidR="0046760F" w:rsidRPr="005463EE" w:rsidRDefault="0046760F" w:rsidP="00C456DF">
            <w:pPr>
              <w:pStyle w:val="a6"/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5463EE">
              <w:rPr>
                <w:rFonts w:ascii="Arial" w:hAnsi="Arial" w:cs="Arial"/>
                <w:b/>
              </w:rPr>
              <w:t>Stop</w:t>
            </w:r>
          </w:p>
        </w:tc>
        <w:tc>
          <w:tcPr>
            <w:tcW w:w="2835" w:type="dxa"/>
            <w:vAlign w:val="center"/>
          </w:tcPr>
          <w:p w:rsidR="0046760F" w:rsidRPr="005463EE" w:rsidRDefault="0046760F" w:rsidP="00C456DF">
            <w:pPr>
              <w:pStyle w:val="a6"/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5463EE">
              <w:rPr>
                <w:rFonts w:ascii="Arial" w:hAnsi="Arial" w:cs="Arial"/>
                <w:b/>
              </w:rPr>
              <w:t>At expiry</w:t>
            </w:r>
          </w:p>
        </w:tc>
      </w:tr>
      <w:tr w:rsidR="0046760F" w:rsidTr="00C456DF">
        <w:tc>
          <w:tcPr>
            <w:tcW w:w="1134" w:type="dxa"/>
            <w:vAlign w:val="center"/>
          </w:tcPr>
          <w:p w:rsidR="0046760F" w:rsidRPr="005463EE" w:rsidRDefault="0046760F" w:rsidP="0046760F">
            <w:pPr>
              <w:pStyle w:val="a6"/>
              <w:spacing w:line="312" w:lineRule="auto"/>
              <w:jc w:val="center"/>
              <w:rPr>
                <w:rFonts w:ascii="Arial" w:hAnsi="Arial" w:cs="Arial"/>
              </w:rPr>
            </w:pPr>
            <w:r w:rsidRPr="005463EE">
              <w:rPr>
                <w:rFonts w:ascii="Arial" w:hAnsi="Arial" w:cs="Arial"/>
              </w:rPr>
              <w:t>T31</w:t>
            </w:r>
            <w:r>
              <w:rPr>
                <w:rFonts w:ascii="Arial" w:hAnsi="Arial" w:cs="Arial" w:hint="eastAsia"/>
              </w:rPr>
              <w:t>2</w:t>
            </w:r>
          </w:p>
        </w:tc>
        <w:tc>
          <w:tcPr>
            <w:tcW w:w="2835" w:type="dxa"/>
            <w:vAlign w:val="center"/>
          </w:tcPr>
          <w:p w:rsidR="0046760F" w:rsidRPr="005463EE" w:rsidRDefault="0046760F" w:rsidP="0046760F">
            <w:pPr>
              <w:pStyle w:val="a6"/>
              <w:spacing w:line="312" w:lineRule="auto"/>
              <w:jc w:val="center"/>
              <w:rPr>
                <w:rFonts w:ascii="Arial" w:hAnsi="Arial" w:cs="Arial"/>
              </w:rPr>
            </w:pPr>
            <w:r w:rsidRPr="005463EE">
              <w:rPr>
                <w:rFonts w:ascii="Arial" w:hAnsi="Arial" w:cs="Arial"/>
              </w:rPr>
              <w:t xml:space="preserve">Upon </w:t>
            </w:r>
            <w:r>
              <w:rPr>
                <w:rFonts w:ascii="Arial" w:hAnsi="Arial" w:cs="Arial" w:hint="eastAsia"/>
              </w:rPr>
              <w:t>triggering a measurement report for a</w:t>
            </w:r>
            <w:r w:rsidR="009B2E21">
              <w:rPr>
                <w:rFonts w:ascii="Arial" w:hAnsi="Arial" w:cs="Arial" w:hint="eastAsia"/>
              </w:rPr>
              <w:t xml:space="preserve"> measurement identity for which T312 has been configured, while T310 is running</w:t>
            </w:r>
          </w:p>
        </w:tc>
        <w:tc>
          <w:tcPr>
            <w:tcW w:w="2835" w:type="dxa"/>
            <w:vAlign w:val="center"/>
          </w:tcPr>
          <w:p w:rsidR="0046760F" w:rsidRPr="005463EE" w:rsidRDefault="0046760F" w:rsidP="009B2E21">
            <w:pPr>
              <w:pStyle w:val="a6"/>
              <w:spacing w:line="312" w:lineRule="auto"/>
              <w:jc w:val="center"/>
              <w:rPr>
                <w:rFonts w:ascii="Arial" w:hAnsi="Arial" w:cs="Arial"/>
              </w:rPr>
            </w:pPr>
            <w:r w:rsidRPr="005463EE">
              <w:rPr>
                <w:rFonts w:ascii="Arial" w:hAnsi="Arial" w:cs="Arial"/>
              </w:rPr>
              <w:t>Upon receiving N311 consecutive in-sync indications from lower laye</w:t>
            </w:r>
            <w:r w:rsidR="009B2E21">
              <w:rPr>
                <w:rFonts w:ascii="Arial" w:hAnsi="Arial" w:cs="Arial"/>
              </w:rPr>
              <w:t>r</w:t>
            </w:r>
            <w:r w:rsidR="009B2E21">
              <w:rPr>
                <w:rFonts w:ascii="Arial" w:hAnsi="Arial" w:cs="Arial" w:hint="eastAsia"/>
              </w:rPr>
              <w:t>s</w:t>
            </w:r>
            <w:r w:rsidRPr="005463EE">
              <w:rPr>
                <w:rFonts w:ascii="Arial" w:hAnsi="Arial" w:cs="Arial"/>
              </w:rPr>
              <w:t>, upon triggering the handover procedure</w:t>
            </w:r>
            <w:r w:rsidR="009B2E21">
              <w:rPr>
                <w:rFonts w:ascii="Arial" w:hAnsi="Arial" w:cs="Arial" w:hint="eastAsia"/>
              </w:rPr>
              <w:t xml:space="preserve">, </w:t>
            </w:r>
            <w:r w:rsidRPr="005463EE">
              <w:rPr>
                <w:rFonts w:ascii="Arial" w:hAnsi="Arial" w:cs="Arial"/>
              </w:rPr>
              <w:t>upon initiating the connection re-establishment procedure</w:t>
            </w:r>
            <w:r w:rsidR="009B2E21">
              <w:rPr>
                <w:rFonts w:ascii="Arial" w:hAnsi="Arial" w:cs="Arial" w:hint="eastAsia"/>
              </w:rPr>
              <w:t>, and upon the expiry of T310</w:t>
            </w:r>
          </w:p>
        </w:tc>
        <w:tc>
          <w:tcPr>
            <w:tcW w:w="2835" w:type="dxa"/>
            <w:vAlign w:val="center"/>
          </w:tcPr>
          <w:p w:rsidR="0046760F" w:rsidRPr="005463EE" w:rsidRDefault="0046760F" w:rsidP="00C456DF">
            <w:pPr>
              <w:pStyle w:val="a6"/>
              <w:spacing w:line="312" w:lineRule="auto"/>
              <w:jc w:val="center"/>
              <w:rPr>
                <w:rFonts w:ascii="Arial" w:hAnsi="Arial" w:cs="Arial"/>
              </w:rPr>
            </w:pPr>
            <w:r w:rsidRPr="005463EE">
              <w:rPr>
                <w:rFonts w:ascii="Arial" w:hAnsi="Arial" w:cs="Arial"/>
              </w:rPr>
              <w:t>If security is not activated: go to RRC_IDLE else: initiate the connection re-establishment procedure</w:t>
            </w:r>
          </w:p>
        </w:tc>
      </w:tr>
    </w:tbl>
    <w:p w:rsidR="005545A7" w:rsidRPr="004C0956" w:rsidRDefault="005545A7" w:rsidP="005C579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21914" w:rsidRPr="004C0956" w:rsidRDefault="00DC58F4" w:rsidP="00921914">
      <w:pPr>
        <w:pStyle w:val="a6"/>
        <w:keepNext/>
        <w:spacing w:line="312" w:lineRule="auto"/>
        <w:jc w:val="center"/>
        <w:rPr>
          <w:rFonts w:ascii="Times New Roman" w:hAnsi="Times New Roman" w:cs="Times New Roman"/>
          <w:sz w:val="22"/>
        </w:rPr>
      </w:pPr>
      <w:r>
        <w:object w:dxaOrig="7851" w:dyaOrig="40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6pt;height:174.05pt" o:ole="">
            <v:imagedata r:id="rId9" o:title=""/>
          </v:shape>
          <o:OLEObject Type="Embed" ProgID="Visio.Drawing.11" ShapeID="_x0000_i1025" DrawAspect="Content" ObjectID="_1547727344" r:id="rId10"/>
        </w:object>
      </w:r>
    </w:p>
    <w:p w:rsidR="00921914" w:rsidRPr="004C0956" w:rsidRDefault="00921914" w:rsidP="00921914">
      <w:pPr>
        <w:pStyle w:val="a3"/>
        <w:jc w:val="center"/>
        <w:rPr>
          <w:rFonts w:ascii="Times New Roman" w:hAnsi="Times New Roman" w:cs="Times New Roman"/>
          <w:sz w:val="22"/>
          <w:szCs w:val="22"/>
        </w:rPr>
      </w:pPr>
      <w:r w:rsidRPr="004C0956">
        <w:rPr>
          <w:rFonts w:ascii="Times New Roman" w:hAnsi="Times New Roman" w:cs="Times New Roman"/>
          <w:sz w:val="22"/>
          <w:szCs w:val="22"/>
        </w:rPr>
        <w:t xml:space="preserve">Figure </w:t>
      </w:r>
      <w:r w:rsidRPr="004C0956">
        <w:rPr>
          <w:rFonts w:ascii="Times New Roman" w:hAnsi="Times New Roman" w:cs="Times New Roman"/>
          <w:sz w:val="22"/>
          <w:szCs w:val="22"/>
        </w:rPr>
        <w:fldChar w:fldCharType="begin"/>
      </w:r>
      <w:r w:rsidRPr="004C0956">
        <w:rPr>
          <w:rFonts w:ascii="Times New Roman" w:hAnsi="Times New Roman" w:cs="Times New Roman"/>
          <w:sz w:val="22"/>
          <w:szCs w:val="22"/>
        </w:rPr>
        <w:instrText xml:space="preserve"> SEQ Figure \* ARABIC </w:instrText>
      </w:r>
      <w:r w:rsidRPr="004C0956">
        <w:rPr>
          <w:rFonts w:ascii="Times New Roman" w:hAnsi="Times New Roman" w:cs="Times New Roman"/>
          <w:sz w:val="22"/>
          <w:szCs w:val="22"/>
        </w:rPr>
        <w:fldChar w:fldCharType="separate"/>
      </w:r>
      <w:r w:rsidRPr="004C0956">
        <w:rPr>
          <w:rFonts w:ascii="Times New Roman" w:hAnsi="Times New Roman" w:cs="Times New Roman"/>
          <w:noProof/>
          <w:sz w:val="22"/>
          <w:szCs w:val="22"/>
        </w:rPr>
        <w:t>1</w:t>
      </w:r>
      <w:r w:rsidRPr="004C0956">
        <w:rPr>
          <w:rFonts w:ascii="Times New Roman" w:hAnsi="Times New Roman" w:cs="Times New Roman"/>
          <w:sz w:val="22"/>
          <w:szCs w:val="22"/>
        </w:rPr>
        <w:fldChar w:fldCharType="end"/>
      </w:r>
      <w:r w:rsidRPr="004C0956">
        <w:rPr>
          <w:rFonts w:ascii="Times New Roman" w:hAnsi="Times New Roman" w:cs="Times New Roman"/>
          <w:sz w:val="22"/>
          <w:szCs w:val="22"/>
        </w:rPr>
        <w:t xml:space="preserve"> Operation of early T310 termination using T312</w:t>
      </w:r>
    </w:p>
    <w:p w:rsidR="00431994" w:rsidRDefault="005545A7" w:rsidP="005C579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4C0956">
        <w:rPr>
          <w:rFonts w:ascii="Times New Roman" w:hAnsi="Times New Roman" w:cs="Times New Roman"/>
          <w:sz w:val="22"/>
        </w:rPr>
        <w:t xml:space="preserve">Fig. </w:t>
      </w:r>
      <w:r w:rsidR="00227672">
        <w:rPr>
          <w:rFonts w:ascii="Times New Roman" w:hAnsi="Times New Roman" w:cs="Times New Roman" w:hint="eastAsia"/>
          <w:sz w:val="22"/>
        </w:rPr>
        <w:t>1</w:t>
      </w:r>
      <w:r w:rsidRPr="004C0956">
        <w:rPr>
          <w:rFonts w:ascii="Times New Roman" w:hAnsi="Times New Roman" w:cs="Times New Roman"/>
          <w:sz w:val="22"/>
        </w:rPr>
        <w:t xml:space="preserve"> shows the operation of early T310 te</w:t>
      </w:r>
      <w:r w:rsidR="000F28A4" w:rsidRPr="004C0956">
        <w:rPr>
          <w:rFonts w:ascii="Times New Roman" w:hAnsi="Times New Roman" w:cs="Times New Roman"/>
          <w:sz w:val="22"/>
        </w:rPr>
        <w:t xml:space="preserve">rmination </w:t>
      </w:r>
      <w:r w:rsidR="00711A8A" w:rsidRPr="004C0956">
        <w:rPr>
          <w:rFonts w:ascii="Times New Roman" w:hAnsi="Times New Roman" w:cs="Times New Roman"/>
          <w:sz w:val="22"/>
        </w:rPr>
        <w:t xml:space="preserve">using T312. We </w:t>
      </w:r>
      <w:r w:rsidRPr="004C0956">
        <w:rPr>
          <w:rFonts w:ascii="Times New Roman" w:hAnsi="Times New Roman" w:cs="Times New Roman"/>
          <w:sz w:val="22"/>
        </w:rPr>
        <w:t xml:space="preserve">assume that the UE satisfies the A3 event (i.e., </w:t>
      </w:r>
      <w:proofErr w:type="spellStart"/>
      <w:r w:rsidRPr="004C0956">
        <w:rPr>
          <w:rFonts w:ascii="Times New Roman" w:hAnsi="Times New Roman" w:cs="Times New Roman"/>
          <w:sz w:val="22"/>
        </w:rPr>
        <w:t>RSRP</w:t>
      </w:r>
      <w:r w:rsidRPr="004C0956">
        <w:rPr>
          <w:rFonts w:ascii="Times New Roman" w:hAnsi="Times New Roman" w:cs="Times New Roman"/>
          <w:sz w:val="22"/>
          <w:vertAlign w:val="subscript"/>
        </w:rPr>
        <w:t>target</w:t>
      </w:r>
      <w:proofErr w:type="spellEnd"/>
      <w:r w:rsidRPr="004C0956">
        <w:rPr>
          <w:rFonts w:ascii="Times New Roman" w:hAnsi="Times New Roman" w:cs="Times New Roman"/>
          <w:sz w:val="22"/>
        </w:rPr>
        <w:t xml:space="preserve"> &gt; </w:t>
      </w:r>
      <w:proofErr w:type="spellStart"/>
      <w:r w:rsidRPr="004C0956">
        <w:rPr>
          <w:rFonts w:ascii="Times New Roman" w:hAnsi="Times New Roman" w:cs="Times New Roman"/>
          <w:sz w:val="22"/>
        </w:rPr>
        <w:t>RSRP</w:t>
      </w:r>
      <w:r w:rsidRPr="004C0956">
        <w:rPr>
          <w:rFonts w:ascii="Times New Roman" w:hAnsi="Times New Roman" w:cs="Times New Roman"/>
          <w:sz w:val="22"/>
          <w:vertAlign w:val="subscript"/>
        </w:rPr>
        <w:t>serving</w:t>
      </w:r>
      <w:proofErr w:type="spellEnd"/>
      <w:r w:rsidRPr="004C0956">
        <w:rPr>
          <w:rFonts w:ascii="Times New Roman" w:hAnsi="Times New Roman" w:cs="Times New Roman"/>
          <w:sz w:val="22"/>
        </w:rPr>
        <w:t xml:space="preserve"> + offset</w:t>
      </w:r>
      <w:r w:rsidR="002C2E07" w:rsidRPr="004C0956">
        <w:rPr>
          <w:rFonts w:ascii="Times New Roman" w:hAnsi="Times New Roman" w:cs="Times New Roman"/>
          <w:sz w:val="22"/>
        </w:rPr>
        <w:t xml:space="preserve">) for TTT </w:t>
      </w:r>
      <w:r w:rsidRPr="004C0956">
        <w:rPr>
          <w:rFonts w:ascii="Times New Roman" w:hAnsi="Times New Roman" w:cs="Times New Roman"/>
          <w:sz w:val="22"/>
        </w:rPr>
        <w:t>(Time-To-Trigger</w:t>
      </w:r>
      <w:r w:rsidR="002B7B10" w:rsidRPr="004C0956">
        <w:rPr>
          <w:rFonts w:ascii="Times New Roman" w:hAnsi="Times New Roman" w:cs="Times New Roman"/>
          <w:sz w:val="22"/>
        </w:rPr>
        <w:t xml:space="preserve">) </w:t>
      </w:r>
      <w:r w:rsidR="002C2E07" w:rsidRPr="004C0956">
        <w:rPr>
          <w:rFonts w:ascii="Times New Roman" w:hAnsi="Times New Roman" w:cs="Times New Roman"/>
          <w:sz w:val="22"/>
        </w:rPr>
        <w:t xml:space="preserve">while T310 is running. </w:t>
      </w:r>
      <w:r w:rsidRPr="004C0956">
        <w:rPr>
          <w:rFonts w:ascii="Times New Roman" w:hAnsi="Times New Roman" w:cs="Times New Roman"/>
          <w:sz w:val="22"/>
        </w:rPr>
        <w:t>Then, the UE sta</w:t>
      </w:r>
      <w:r w:rsidR="00711A8A" w:rsidRPr="004C0956">
        <w:rPr>
          <w:rFonts w:ascii="Times New Roman" w:hAnsi="Times New Roman" w:cs="Times New Roman"/>
          <w:sz w:val="22"/>
        </w:rPr>
        <w:t>rts T312 and attempts handover. If handover is not triggered</w:t>
      </w:r>
      <w:r w:rsidR="00431994" w:rsidRPr="004C0956">
        <w:rPr>
          <w:rFonts w:ascii="Times New Roman" w:hAnsi="Times New Roman" w:cs="Times New Roman"/>
          <w:sz w:val="22"/>
        </w:rPr>
        <w:t xml:space="preserve"> (i.e., </w:t>
      </w:r>
      <w:r w:rsidR="00CF3C04">
        <w:rPr>
          <w:rFonts w:ascii="Times New Roman" w:hAnsi="Times New Roman" w:cs="Times New Roman" w:hint="eastAsia"/>
          <w:sz w:val="22"/>
        </w:rPr>
        <w:t xml:space="preserve">the UE does not receive </w:t>
      </w:r>
      <w:r w:rsidR="00431994" w:rsidRPr="004C0956">
        <w:rPr>
          <w:rFonts w:ascii="Times New Roman" w:hAnsi="Times New Roman" w:cs="Times New Roman"/>
          <w:sz w:val="22"/>
        </w:rPr>
        <w:t xml:space="preserve">handover command) </w:t>
      </w:r>
      <w:r w:rsidR="00711A8A" w:rsidRPr="004C0956">
        <w:rPr>
          <w:rFonts w:ascii="Times New Roman" w:hAnsi="Times New Roman" w:cs="Times New Roman"/>
          <w:sz w:val="22"/>
        </w:rPr>
        <w:t>until the expiry of</w:t>
      </w:r>
      <w:r w:rsidR="00711A8A">
        <w:rPr>
          <w:rFonts w:ascii="Times New Roman" w:hAnsi="Times New Roman" w:cs="Times New Roman" w:hint="eastAsia"/>
          <w:sz w:val="22"/>
        </w:rPr>
        <w:t xml:space="preserve"> T312 and T310 is still </w:t>
      </w:r>
      <w:r w:rsidR="00CF3C04">
        <w:rPr>
          <w:rFonts w:ascii="Times New Roman" w:hAnsi="Times New Roman" w:cs="Times New Roman"/>
          <w:sz w:val="22"/>
        </w:rPr>
        <w:t>running</w:t>
      </w:r>
      <w:r w:rsidR="00CF3C04">
        <w:rPr>
          <w:rFonts w:ascii="Times New Roman" w:hAnsi="Times New Roman" w:cs="Times New Roman" w:hint="eastAsia"/>
          <w:sz w:val="22"/>
        </w:rPr>
        <w:t xml:space="preserve">, </w:t>
      </w:r>
      <w:r w:rsidR="002C2E07">
        <w:rPr>
          <w:rFonts w:ascii="Times New Roman" w:hAnsi="Times New Roman" w:cs="Times New Roman" w:hint="eastAsia"/>
          <w:sz w:val="22"/>
        </w:rPr>
        <w:t xml:space="preserve">the UE </w:t>
      </w:r>
      <w:r w:rsidR="00697C8E">
        <w:rPr>
          <w:rFonts w:ascii="Times New Roman" w:hAnsi="Times New Roman" w:cs="Times New Roman" w:hint="eastAsia"/>
          <w:sz w:val="22"/>
        </w:rPr>
        <w:t>declares RLF with</w:t>
      </w:r>
      <w:r w:rsidR="002B7B10">
        <w:rPr>
          <w:rFonts w:ascii="Times New Roman" w:hAnsi="Times New Roman" w:cs="Times New Roman" w:hint="eastAsia"/>
          <w:sz w:val="22"/>
        </w:rPr>
        <w:t>out waiting the expiry of T310</w:t>
      </w:r>
      <w:r w:rsidR="00CF3C04">
        <w:rPr>
          <w:rFonts w:ascii="Times New Roman" w:hAnsi="Times New Roman" w:cs="Times New Roman" w:hint="eastAsia"/>
          <w:sz w:val="22"/>
        </w:rPr>
        <w:t xml:space="preserve"> and performs </w:t>
      </w:r>
      <w:r w:rsidR="00CF3C04" w:rsidRPr="00CF3C04">
        <w:rPr>
          <w:rFonts w:ascii="Times New Roman" w:hAnsi="Times New Roman" w:cs="Times New Roman"/>
          <w:sz w:val="22"/>
        </w:rPr>
        <w:t>the connection re-establishment procedure</w:t>
      </w:r>
      <w:r w:rsidR="00CF3C04">
        <w:rPr>
          <w:rFonts w:ascii="Times New Roman" w:hAnsi="Times New Roman" w:cs="Times New Roman" w:hint="eastAsia"/>
          <w:sz w:val="22"/>
        </w:rPr>
        <w:t xml:space="preserve"> towards the target cell. </w:t>
      </w:r>
      <w:r w:rsidR="002B7B10">
        <w:rPr>
          <w:rFonts w:ascii="Times New Roman" w:hAnsi="Times New Roman" w:cs="Times New Roman" w:hint="eastAsia"/>
          <w:sz w:val="22"/>
        </w:rPr>
        <w:t xml:space="preserve">By doing so, </w:t>
      </w:r>
      <w:r w:rsidR="003E5878">
        <w:rPr>
          <w:rFonts w:ascii="Times New Roman" w:hAnsi="Times New Roman" w:cs="Times New Roman" w:hint="eastAsia"/>
          <w:sz w:val="22"/>
        </w:rPr>
        <w:t xml:space="preserve">the UE </w:t>
      </w:r>
      <w:r w:rsidR="00244EDE">
        <w:rPr>
          <w:rFonts w:ascii="Times New Roman" w:hAnsi="Times New Roman" w:cs="Times New Roman" w:hint="eastAsia"/>
          <w:sz w:val="22"/>
        </w:rPr>
        <w:t>can avoid further service interru</w:t>
      </w:r>
      <w:r w:rsidR="00F06099">
        <w:rPr>
          <w:rFonts w:ascii="Times New Roman" w:hAnsi="Times New Roman" w:cs="Times New Roman" w:hint="eastAsia"/>
          <w:sz w:val="22"/>
        </w:rPr>
        <w:t>ption durin</w:t>
      </w:r>
      <w:r w:rsidR="000B1E8A">
        <w:rPr>
          <w:rFonts w:ascii="Times New Roman" w:hAnsi="Times New Roman" w:cs="Times New Roman" w:hint="eastAsia"/>
          <w:sz w:val="22"/>
        </w:rPr>
        <w:t>g the remaining T310.</w:t>
      </w:r>
    </w:p>
    <w:p w:rsidR="00876617" w:rsidRDefault="00876617" w:rsidP="005C579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144BD1" w:rsidRPr="006A3396" w:rsidRDefault="00144BD1" w:rsidP="00144BD1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6A3396">
        <w:rPr>
          <w:rFonts w:ascii="Times New Roman" w:hAnsi="Times New Roman" w:cs="Times New Roman" w:hint="eastAsia"/>
          <w:b/>
          <w:sz w:val="22"/>
        </w:rPr>
        <w:t xml:space="preserve">Observation </w:t>
      </w:r>
      <w:r>
        <w:rPr>
          <w:rFonts w:ascii="Times New Roman" w:hAnsi="Times New Roman" w:cs="Times New Roman" w:hint="eastAsia"/>
          <w:b/>
          <w:sz w:val="22"/>
        </w:rPr>
        <w:t>2</w:t>
      </w:r>
      <w:r w:rsidRPr="006A3396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 w:rsidRPr="006A3396">
        <w:rPr>
          <w:rFonts w:ascii="Times New Roman" w:hAnsi="Times New Roman" w:cs="Times New Roman" w:hint="eastAsia"/>
          <w:i/>
          <w:sz w:val="22"/>
        </w:rPr>
        <w:t xml:space="preserve">The operation of T312, in which </w:t>
      </w:r>
      <w:r>
        <w:rPr>
          <w:rFonts w:ascii="Times New Roman" w:hAnsi="Times New Roman" w:cs="Times New Roman" w:hint="eastAsia"/>
          <w:i/>
          <w:sz w:val="22"/>
        </w:rPr>
        <w:t xml:space="preserve">a </w:t>
      </w:r>
      <w:r w:rsidRPr="006A3396">
        <w:rPr>
          <w:rFonts w:ascii="Times New Roman" w:hAnsi="Times New Roman" w:cs="Times New Roman" w:hint="eastAsia"/>
          <w:i/>
          <w:sz w:val="22"/>
        </w:rPr>
        <w:t>UE is allowed to declare RLF before the expiry of T310, is beneficial to reduce service interruption time.</w:t>
      </w:r>
    </w:p>
    <w:p w:rsidR="0013112E" w:rsidRPr="0013112E" w:rsidRDefault="002472ED" w:rsidP="0013112E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Necessity of Fast RLF Recovery in NR</w:t>
      </w:r>
    </w:p>
    <w:p w:rsidR="00E124D3" w:rsidRPr="00E124D3" w:rsidRDefault="00E124D3" w:rsidP="00817973">
      <w:pPr>
        <w:pStyle w:val="a6"/>
        <w:spacing w:line="312" w:lineRule="auto"/>
        <w:jc w:val="left"/>
        <w:rPr>
          <w:rFonts w:ascii="Arial" w:hAnsi="Arial" w:cs="Arial"/>
          <w:sz w:val="32"/>
        </w:rPr>
      </w:pPr>
      <w:r w:rsidRPr="00E124D3">
        <w:rPr>
          <w:rFonts w:ascii="Arial" w:hAnsi="Arial" w:cs="Arial"/>
          <w:sz w:val="32"/>
        </w:rPr>
        <w:t>3.</w:t>
      </w:r>
      <w:r w:rsidRPr="00E124D3">
        <w:rPr>
          <w:rFonts w:ascii="Arial" w:hAnsi="Arial" w:cs="Arial" w:hint="eastAsia"/>
          <w:sz w:val="32"/>
        </w:rPr>
        <w:t>1</w:t>
      </w:r>
      <w:r w:rsidRPr="00E124D3">
        <w:rPr>
          <w:rFonts w:ascii="Arial" w:hAnsi="Arial" w:cs="Arial" w:hint="eastAsia"/>
          <w:sz w:val="32"/>
        </w:rPr>
        <w:tab/>
        <w:t>Handover Command</w:t>
      </w:r>
    </w:p>
    <w:p w:rsidR="00D56A2A" w:rsidRDefault="000B1E8A" w:rsidP="0081797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the last RAN2 #96 meeting, </w:t>
      </w:r>
      <w:r w:rsidR="00D56A2A">
        <w:rPr>
          <w:rFonts w:ascii="Times New Roman" w:hAnsi="Times New Roman" w:cs="Times New Roman" w:hint="eastAsia"/>
          <w:sz w:val="22"/>
        </w:rPr>
        <w:t xml:space="preserve">it was agreed that a </w:t>
      </w:r>
      <w:proofErr w:type="spellStart"/>
      <w:r w:rsidR="00D56A2A">
        <w:rPr>
          <w:rFonts w:ascii="Times New Roman" w:hAnsi="Times New Roman" w:cs="Times New Roman" w:hint="eastAsia"/>
          <w:sz w:val="22"/>
        </w:rPr>
        <w:t>gNB</w:t>
      </w:r>
      <w:proofErr w:type="spellEnd"/>
      <w:r w:rsidR="00D56A2A">
        <w:rPr>
          <w:rFonts w:ascii="Times New Roman" w:hAnsi="Times New Roman" w:cs="Times New Roman" w:hint="eastAsia"/>
          <w:sz w:val="22"/>
        </w:rPr>
        <w:t xml:space="preserve"> </w:t>
      </w:r>
      <w:r w:rsidR="000F28A4">
        <w:rPr>
          <w:rFonts w:ascii="Times New Roman" w:hAnsi="Times New Roman" w:cs="Times New Roman" w:hint="eastAsia"/>
          <w:sz w:val="22"/>
        </w:rPr>
        <w:t xml:space="preserve">transmits </w:t>
      </w:r>
      <w:r w:rsidR="00D56A2A">
        <w:rPr>
          <w:rFonts w:ascii="Times New Roman" w:hAnsi="Times New Roman" w:cs="Times New Roman" w:hint="eastAsia"/>
          <w:sz w:val="22"/>
        </w:rPr>
        <w:t xml:space="preserve">handover command to a UE in order </w:t>
      </w:r>
      <w:r w:rsidR="000F28A4">
        <w:rPr>
          <w:rFonts w:ascii="Times New Roman" w:hAnsi="Times New Roman" w:cs="Times New Roman" w:hint="eastAsia"/>
          <w:sz w:val="22"/>
        </w:rPr>
        <w:t xml:space="preserve">to </w:t>
      </w:r>
      <w:r>
        <w:rPr>
          <w:rFonts w:ascii="Times New Roman" w:hAnsi="Times New Roman" w:cs="Times New Roman" w:hint="eastAsia"/>
          <w:sz w:val="22"/>
        </w:rPr>
        <w:t xml:space="preserve">trigger a handover procedure </w:t>
      </w:r>
      <w:r w:rsidR="00D56A2A">
        <w:rPr>
          <w:rFonts w:ascii="Times New Roman" w:hAnsi="Times New Roman" w:cs="Times New Roman" w:hint="eastAsia"/>
          <w:sz w:val="22"/>
        </w:rPr>
        <w:t>(i.e., network-based mobility). The agreements on thi</w:t>
      </w:r>
      <w:r w:rsidR="00813BAC">
        <w:rPr>
          <w:rFonts w:ascii="Times New Roman" w:hAnsi="Times New Roman" w:cs="Times New Roman" w:hint="eastAsia"/>
          <w:sz w:val="22"/>
        </w:rPr>
        <w:t>s issue are captured as follows.</w:t>
      </w:r>
    </w:p>
    <w:p w:rsidR="000B1E8A" w:rsidRPr="000B1F81" w:rsidRDefault="000B1E8A" w:rsidP="0081797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C73630" w:rsidRPr="00C73630" w:rsidTr="00C73630">
        <w:tc>
          <w:tcPr>
            <w:tcW w:w="9944" w:type="dxa"/>
          </w:tcPr>
          <w:p w:rsidR="00C73630" w:rsidRDefault="00C73630" w:rsidP="00817973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Agreements:</w:t>
            </w:r>
          </w:p>
          <w:p w:rsidR="00967FE1" w:rsidRDefault="00C73630" w:rsidP="00967FE1">
            <w:pPr>
              <w:pStyle w:val="a6"/>
              <w:numPr>
                <w:ilvl w:val="0"/>
                <w:numId w:val="45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At least cell id and all information required to access the target cell will be included in the HO command.</w:t>
            </w:r>
          </w:p>
          <w:p w:rsidR="00967FE1" w:rsidRPr="00967FE1" w:rsidRDefault="00967FE1" w:rsidP="00967FE1">
            <w:pPr>
              <w:pStyle w:val="a6"/>
              <w:spacing w:line="312" w:lineRule="auto"/>
              <w:ind w:left="760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…</w:t>
            </w:r>
          </w:p>
          <w:p w:rsidR="00C73630" w:rsidRDefault="00C73630" w:rsidP="00967FE1">
            <w:pPr>
              <w:pStyle w:val="a6"/>
              <w:numPr>
                <w:ilvl w:val="0"/>
                <w:numId w:val="46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 xml:space="preserve">Study the possibility of handover where a condition configured by the 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</w:rPr>
              <w:t>gN</w:t>
            </w:r>
            <w:r w:rsidR="00BE535D">
              <w:rPr>
                <w:rFonts w:ascii="Times New Roman" w:hAnsi="Times New Roman" w:cs="Times New Roman" w:hint="eastAsia"/>
                <w:sz w:val="22"/>
              </w:rPr>
              <w:t>B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</w:rPr>
              <w:t xml:space="preserve"> is used by the UE to determine when it executes the handover.</w:t>
            </w:r>
          </w:p>
        </w:tc>
      </w:tr>
    </w:tbl>
    <w:p w:rsidR="004C0956" w:rsidRDefault="004C0956" w:rsidP="0081797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E124D3" w:rsidRDefault="005E1004" w:rsidP="0081797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It is well known that handover failure mainly occurs </w:t>
      </w:r>
      <w:r w:rsidR="00CF3C04">
        <w:rPr>
          <w:rFonts w:ascii="Times New Roman" w:hAnsi="Times New Roman" w:cs="Times New Roman" w:hint="eastAsia"/>
          <w:sz w:val="22"/>
        </w:rPr>
        <w:t xml:space="preserve">because </w:t>
      </w:r>
      <w:r>
        <w:rPr>
          <w:rFonts w:ascii="Times New Roman" w:hAnsi="Times New Roman" w:cs="Times New Roman" w:hint="eastAsia"/>
          <w:sz w:val="22"/>
        </w:rPr>
        <w:t xml:space="preserve">the UE fails to receive the handover command from the serving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 w:rsidR="0087239F">
        <w:rPr>
          <w:rFonts w:ascii="Times New Roman" w:hAnsi="Times New Roman" w:cs="Times New Roman" w:hint="eastAsia"/>
          <w:sz w:val="22"/>
        </w:rPr>
        <w:t xml:space="preserve">, although the UE already detects the target </w:t>
      </w:r>
      <w:proofErr w:type="spellStart"/>
      <w:r w:rsidR="0087239F">
        <w:rPr>
          <w:rFonts w:ascii="Times New Roman" w:hAnsi="Times New Roman" w:cs="Times New Roman" w:hint="eastAsia"/>
          <w:sz w:val="22"/>
        </w:rPr>
        <w:t>gNB</w:t>
      </w:r>
      <w:proofErr w:type="spellEnd"/>
      <w:r w:rsidR="001B08C3">
        <w:rPr>
          <w:rFonts w:ascii="Times New Roman" w:hAnsi="Times New Roman" w:cs="Times New Roman" w:hint="eastAsia"/>
          <w:sz w:val="22"/>
        </w:rPr>
        <w:t xml:space="preserve"> (e.g., A3 event)</w:t>
      </w:r>
      <w:r w:rsidR="00284626">
        <w:rPr>
          <w:rFonts w:ascii="Times New Roman" w:hAnsi="Times New Roman" w:cs="Times New Roman" w:hint="eastAsia"/>
          <w:sz w:val="22"/>
        </w:rPr>
        <w:t xml:space="preserve">. </w:t>
      </w:r>
      <w:r>
        <w:rPr>
          <w:rFonts w:ascii="Times New Roman" w:hAnsi="Times New Roman" w:cs="Times New Roman" w:hint="eastAsia"/>
          <w:sz w:val="22"/>
        </w:rPr>
        <w:t>Moreover, this phenomenon (</w:t>
      </w:r>
      <w:r w:rsidR="004C0956">
        <w:rPr>
          <w:rFonts w:ascii="Times New Roman" w:hAnsi="Times New Roman" w:cs="Times New Roman" w:hint="eastAsia"/>
          <w:sz w:val="22"/>
        </w:rPr>
        <w:t xml:space="preserve">i.e., </w:t>
      </w:r>
      <w:r>
        <w:rPr>
          <w:rFonts w:ascii="Times New Roman" w:hAnsi="Times New Roman" w:cs="Times New Roman" w:hint="eastAsia"/>
          <w:sz w:val="22"/>
        </w:rPr>
        <w:t>hand</w:t>
      </w:r>
      <w:r w:rsidR="00C431C4">
        <w:rPr>
          <w:rFonts w:ascii="Times New Roman" w:hAnsi="Times New Roman" w:cs="Times New Roman" w:hint="eastAsia"/>
          <w:sz w:val="22"/>
        </w:rPr>
        <w:t xml:space="preserve">over command reception failure) </w:t>
      </w:r>
      <w:r>
        <w:rPr>
          <w:rFonts w:ascii="Times New Roman" w:hAnsi="Times New Roman" w:cs="Times New Roman" w:hint="eastAsia"/>
          <w:sz w:val="22"/>
        </w:rPr>
        <w:t xml:space="preserve">is primarily caused by the poor link quality between the UE and the serving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 w:rsidR="00284626">
        <w:rPr>
          <w:rFonts w:ascii="Times New Roman" w:hAnsi="Times New Roman" w:cs="Times New Roman" w:hint="eastAsia"/>
          <w:sz w:val="22"/>
        </w:rPr>
        <w:t xml:space="preserve">. </w:t>
      </w:r>
      <w:r>
        <w:rPr>
          <w:rFonts w:ascii="Times New Roman" w:hAnsi="Times New Roman" w:cs="Times New Roman" w:hint="eastAsia"/>
          <w:sz w:val="22"/>
        </w:rPr>
        <w:t>As a result, it is highly probable that the handover failure occurs w</w:t>
      </w:r>
      <w:r w:rsidR="00284626">
        <w:rPr>
          <w:rFonts w:ascii="Times New Roman" w:hAnsi="Times New Roman" w:cs="Times New Roman" w:hint="eastAsia"/>
          <w:sz w:val="22"/>
        </w:rPr>
        <w:t xml:space="preserve">hile T310 of the UE is running. </w:t>
      </w:r>
      <w:r w:rsidR="00D5250B">
        <w:rPr>
          <w:rFonts w:ascii="Times New Roman" w:hAnsi="Times New Roman" w:cs="Times New Roman" w:hint="eastAsia"/>
          <w:sz w:val="22"/>
        </w:rPr>
        <w:t xml:space="preserve">Such reasoning is valid for any handover procedure that relies on the handover command </w:t>
      </w:r>
      <w:r w:rsidR="008F21E4">
        <w:rPr>
          <w:rFonts w:ascii="Times New Roman" w:hAnsi="Times New Roman" w:cs="Times New Roman" w:hint="eastAsia"/>
          <w:sz w:val="22"/>
        </w:rPr>
        <w:t xml:space="preserve">sent </w:t>
      </w:r>
      <w:r w:rsidR="00D5250B">
        <w:rPr>
          <w:rFonts w:ascii="Times New Roman" w:hAnsi="Times New Roman" w:cs="Times New Roman" w:hint="eastAsia"/>
          <w:sz w:val="22"/>
        </w:rPr>
        <w:t xml:space="preserve">by the serving </w:t>
      </w:r>
      <w:proofErr w:type="spellStart"/>
      <w:r w:rsidR="00D5250B">
        <w:rPr>
          <w:rFonts w:ascii="Times New Roman" w:hAnsi="Times New Roman" w:cs="Times New Roman" w:hint="eastAsia"/>
          <w:sz w:val="22"/>
        </w:rPr>
        <w:t>gNB</w:t>
      </w:r>
      <w:proofErr w:type="spellEnd"/>
      <w:r w:rsidR="00D5250B">
        <w:rPr>
          <w:rFonts w:ascii="Times New Roman" w:hAnsi="Times New Roman" w:cs="Times New Roman" w:hint="eastAsia"/>
          <w:sz w:val="22"/>
        </w:rPr>
        <w:t xml:space="preserve">, regardless of whether the </w:t>
      </w:r>
      <w:r w:rsidR="00FC0F2D">
        <w:rPr>
          <w:rFonts w:ascii="Times New Roman" w:hAnsi="Times New Roman" w:cs="Times New Roman" w:hint="eastAsia"/>
          <w:sz w:val="22"/>
        </w:rPr>
        <w:t xml:space="preserve">procedure is </w:t>
      </w:r>
      <w:r w:rsidR="008F21E4">
        <w:rPr>
          <w:rFonts w:ascii="Times New Roman" w:hAnsi="Times New Roman" w:cs="Times New Roman" w:hint="eastAsia"/>
          <w:sz w:val="22"/>
        </w:rPr>
        <w:t xml:space="preserve">used in </w:t>
      </w:r>
      <w:r w:rsidR="00FC0F2D">
        <w:rPr>
          <w:rFonts w:ascii="Times New Roman" w:hAnsi="Times New Roman" w:cs="Times New Roman" w:hint="eastAsia"/>
          <w:sz w:val="22"/>
        </w:rPr>
        <w:t xml:space="preserve">LTE </w:t>
      </w:r>
      <w:r w:rsidR="00284626">
        <w:rPr>
          <w:rFonts w:ascii="Times New Roman" w:hAnsi="Times New Roman" w:cs="Times New Roman" w:hint="eastAsia"/>
          <w:sz w:val="22"/>
        </w:rPr>
        <w:t xml:space="preserve">or NR. </w:t>
      </w:r>
      <w:r w:rsidR="00FC0F2D">
        <w:rPr>
          <w:rFonts w:ascii="Times New Roman" w:hAnsi="Times New Roman" w:cs="Times New Roman" w:hint="eastAsia"/>
          <w:sz w:val="22"/>
        </w:rPr>
        <w:t xml:space="preserve">In this context, we </w:t>
      </w:r>
      <w:r w:rsidR="008B1A47">
        <w:rPr>
          <w:rFonts w:ascii="Times New Roman" w:hAnsi="Times New Roman" w:cs="Times New Roman" w:hint="eastAsia"/>
          <w:sz w:val="22"/>
        </w:rPr>
        <w:t>think</w:t>
      </w:r>
      <w:r w:rsidR="00FC0F2D">
        <w:rPr>
          <w:rFonts w:ascii="Times New Roman" w:hAnsi="Times New Roman" w:cs="Times New Roman" w:hint="eastAsia"/>
          <w:sz w:val="22"/>
        </w:rPr>
        <w:t xml:space="preserve"> </w:t>
      </w:r>
      <w:r w:rsidR="00FC0F2D">
        <w:rPr>
          <w:rFonts w:ascii="Times New Roman" w:hAnsi="Times New Roman" w:cs="Times New Roman" w:hint="eastAsia"/>
          <w:sz w:val="22"/>
        </w:rPr>
        <w:lastRenderedPageBreak/>
        <w:t xml:space="preserve">that the early T310 termination scheme using T312, which is already specified in LTE Rel-12, </w:t>
      </w:r>
      <w:r w:rsidR="00284626">
        <w:rPr>
          <w:rFonts w:ascii="Times New Roman" w:hAnsi="Times New Roman" w:cs="Times New Roman" w:hint="eastAsia"/>
          <w:sz w:val="22"/>
        </w:rPr>
        <w:t xml:space="preserve">should </w:t>
      </w:r>
      <w:r w:rsidR="002601EC">
        <w:rPr>
          <w:rFonts w:ascii="Times New Roman" w:hAnsi="Times New Roman" w:cs="Times New Roman" w:hint="eastAsia"/>
          <w:sz w:val="22"/>
        </w:rPr>
        <w:t>be a baseline as a method for fast RLF recovery and/or mobility performance enhancement in NR.</w:t>
      </w:r>
    </w:p>
    <w:p w:rsidR="00876617" w:rsidRDefault="00876617" w:rsidP="00817973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</w:p>
    <w:p w:rsidR="00144BD1" w:rsidRDefault="00144BD1" w:rsidP="00144BD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Observation 3: </w:t>
      </w:r>
      <w:r w:rsidRPr="00537E1C">
        <w:rPr>
          <w:rFonts w:ascii="Times New Roman" w:hAnsi="Times New Roman" w:cs="Times New Roman" w:hint="eastAsia"/>
          <w:i/>
          <w:sz w:val="22"/>
        </w:rPr>
        <w:t>In LTE, we observed that the main cause of handover failure i</w:t>
      </w:r>
      <w:r>
        <w:rPr>
          <w:rFonts w:ascii="Times New Roman" w:hAnsi="Times New Roman" w:cs="Times New Roman" w:hint="eastAsia"/>
          <w:i/>
          <w:sz w:val="22"/>
        </w:rPr>
        <w:t xml:space="preserve">s because a UE fails to receive </w:t>
      </w:r>
      <w:r w:rsidRPr="00537E1C">
        <w:rPr>
          <w:rFonts w:ascii="Times New Roman" w:hAnsi="Times New Roman" w:cs="Times New Roman" w:hint="eastAsia"/>
          <w:i/>
          <w:sz w:val="22"/>
        </w:rPr>
        <w:t xml:space="preserve">handover command from a serving cell. Since NR also relies on the handover command to initiate </w:t>
      </w:r>
      <w:r>
        <w:rPr>
          <w:rFonts w:ascii="Times New Roman" w:hAnsi="Times New Roman" w:cs="Times New Roman"/>
          <w:i/>
          <w:sz w:val="22"/>
        </w:rPr>
        <w:t>handover</w:t>
      </w:r>
      <w:r>
        <w:rPr>
          <w:rFonts w:ascii="Times New Roman" w:hAnsi="Times New Roman" w:cs="Times New Roman" w:hint="eastAsia"/>
          <w:i/>
          <w:sz w:val="22"/>
        </w:rPr>
        <w:t xml:space="preserve"> </w:t>
      </w:r>
      <w:r w:rsidRPr="00537E1C">
        <w:rPr>
          <w:rFonts w:ascii="Times New Roman" w:hAnsi="Times New Roman" w:cs="Times New Roman"/>
          <w:i/>
          <w:sz w:val="22"/>
        </w:rPr>
        <w:t>(i.</w:t>
      </w:r>
      <w:r w:rsidRPr="00537E1C">
        <w:rPr>
          <w:rFonts w:ascii="Times New Roman" w:hAnsi="Times New Roman" w:cs="Times New Roman" w:hint="eastAsia"/>
          <w:i/>
          <w:sz w:val="22"/>
        </w:rPr>
        <w:t>e., network-based mobility), it is expect</w:t>
      </w:r>
      <w:r>
        <w:rPr>
          <w:rFonts w:ascii="Times New Roman" w:hAnsi="Times New Roman" w:cs="Times New Roman" w:hint="eastAsia"/>
          <w:i/>
          <w:sz w:val="22"/>
        </w:rPr>
        <w:t xml:space="preserve">ed </w:t>
      </w:r>
      <w:r w:rsidRPr="00537E1C">
        <w:rPr>
          <w:rFonts w:ascii="Times New Roman" w:hAnsi="Times New Roman" w:cs="Times New Roman" w:hint="eastAsia"/>
          <w:i/>
          <w:sz w:val="22"/>
        </w:rPr>
        <w:t>that NR will have the same problem as in LTE.</w:t>
      </w:r>
    </w:p>
    <w:p w:rsidR="009547DF" w:rsidRPr="00144BD1" w:rsidRDefault="009547DF" w:rsidP="0081797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E124D3" w:rsidRPr="00E124D3" w:rsidRDefault="00E124D3" w:rsidP="00E124D3">
      <w:pPr>
        <w:pStyle w:val="a6"/>
        <w:spacing w:line="312" w:lineRule="auto"/>
        <w:jc w:val="left"/>
        <w:rPr>
          <w:rFonts w:ascii="Arial" w:hAnsi="Arial" w:cs="Arial"/>
          <w:sz w:val="28"/>
        </w:rPr>
      </w:pPr>
      <w:r w:rsidRPr="00E124D3">
        <w:rPr>
          <w:rFonts w:ascii="Arial" w:hAnsi="Arial" w:cs="Arial"/>
          <w:sz w:val="32"/>
        </w:rPr>
        <w:t>3.</w:t>
      </w:r>
      <w:r w:rsidR="00074648">
        <w:rPr>
          <w:rFonts w:ascii="Arial" w:hAnsi="Arial" w:cs="Arial" w:hint="eastAsia"/>
          <w:sz w:val="32"/>
        </w:rPr>
        <w:t>2</w:t>
      </w:r>
      <w:r w:rsidR="00074648">
        <w:rPr>
          <w:rFonts w:ascii="Arial" w:hAnsi="Arial" w:cs="Arial" w:hint="eastAsia"/>
          <w:sz w:val="32"/>
        </w:rPr>
        <w:tab/>
        <w:t>CU-DU Architecture</w:t>
      </w:r>
    </w:p>
    <w:p w:rsidR="00761643" w:rsidRDefault="00195748" w:rsidP="0076164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Let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>s assume that a UE declares RLF at the expiry of T312 and performs the connection re-establishment procedure towards a target cell for handover. In LTE, depending on whether a context of the UE is available</w:t>
      </w:r>
      <w:r w:rsidR="00761643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 xml:space="preserve">at the </w:t>
      </w:r>
      <w:proofErr w:type="spellStart"/>
      <w:r>
        <w:rPr>
          <w:rFonts w:ascii="Times New Roman" w:hAnsi="Times New Roman" w:cs="Times New Roman" w:hint="eastAsia"/>
          <w:sz w:val="22"/>
        </w:rPr>
        <w:t>eNB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of the target cell, one of the following two cases can happen</w:t>
      </w:r>
      <w:r w:rsidR="009540B7">
        <w:rPr>
          <w:rFonts w:ascii="Times New Roman" w:hAnsi="Times New Roman" w:cs="Times New Roman" w:hint="eastAsia"/>
          <w:sz w:val="22"/>
        </w:rPr>
        <w:t xml:space="preserve"> [2]</w:t>
      </w:r>
      <w:r>
        <w:rPr>
          <w:rFonts w:ascii="Times New Roman" w:hAnsi="Times New Roman" w:cs="Times New Roman" w:hint="eastAsia"/>
          <w:sz w:val="22"/>
        </w:rPr>
        <w:t>.</w:t>
      </w:r>
    </w:p>
    <w:p w:rsidR="00761643" w:rsidRDefault="00761643" w:rsidP="0076164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761643" w:rsidRDefault="00476E16" w:rsidP="00DE2843">
      <w:pPr>
        <w:pStyle w:val="a6"/>
        <w:numPr>
          <w:ilvl w:val="0"/>
          <w:numId w:val="49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Case 1: </w:t>
      </w:r>
      <w:r w:rsidR="00424D3D">
        <w:rPr>
          <w:rFonts w:ascii="Times New Roman" w:hAnsi="Times New Roman" w:cs="Times New Roman" w:hint="eastAsia"/>
          <w:sz w:val="22"/>
        </w:rPr>
        <w:t xml:space="preserve">If the </w:t>
      </w:r>
      <w:proofErr w:type="spellStart"/>
      <w:r w:rsidR="00424D3D">
        <w:rPr>
          <w:rFonts w:ascii="Times New Roman" w:hAnsi="Times New Roman" w:cs="Times New Roman" w:hint="eastAsia"/>
          <w:sz w:val="22"/>
        </w:rPr>
        <w:t>eNB</w:t>
      </w:r>
      <w:proofErr w:type="spellEnd"/>
      <w:r w:rsidR="00424D3D">
        <w:rPr>
          <w:rFonts w:ascii="Times New Roman" w:hAnsi="Times New Roman" w:cs="Times New Roman" w:hint="eastAsia"/>
          <w:sz w:val="22"/>
        </w:rPr>
        <w:t xml:space="preserve"> finds a context that matches the identity of the UE, or obtains this context from the previously serving </w:t>
      </w:r>
      <w:proofErr w:type="spellStart"/>
      <w:r w:rsidR="00424D3D">
        <w:rPr>
          <w:rFonts w:ascii="Times New Roman" w:hAnsi="Times New Roman" w:cs="Times New Roman" w:hint="eastAsia"/>
          <w:sz w:val="22"/>
        </w:rPr>
        <w:t>eNB</w:t>
      </w:r>
      <w:proofErr w:type="spellEnd"/>
      <w:r w:rsidR="00424D3D">
        <w:rPr>
          <w:rFonts w:ascii="Times New Roman" w:hAnsi="Times New Roman" w:cs="Times New Roman" w:hint="eastAsia"/>
          <w:sz w:val="22"/>
        </w:rPr>
        <w:t>, it indicates to the UE that its connection can be resumed.</w:t>
      </w:r>
    </w:p>
    <w:p w:rsidR="005625E4" w:rsidRDefault="00476E16" w:rsidP="00DE2843">
      <w:pPr>
        <w:pStyle w:val="a6"/>
        <w:numPr>
          <w:ilvl w:val="0"/>
          <w:numId w:val="49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761643">
        <w:rPr>
          <w:rFonts w:ascii="Times New Roman" w:hAnsi="Times New Roman" w:cs="Times New Roman" w:hint="eastAsia"/>
          <w:sz w:val="22"/>
        </w:rPr>
        <w:t xml:space="preserve">Case 2: </w:t>
      </w:r>
      <w:r w:rsidR="00424D3D" w:rsidRPr="00761643">
        <w:rPr>
          <w:rFonts w:ascii="Times New Roman" w:hAnsi="Times New Roman" w:cs="Times New Roman" w:hint="eastAsia"/>
          <w:sz w:val="22"/>
        </w:rPr>
        <w:t>If the context is not found, RRC connection is released and the UE initiates procedure to establish new RRC connection. In this case, the UE</w:t>
      </w:r>
      <w:r w:rsidR="00761643">
        <w:rPr>
          <w:rFonts w:ascii="Times New Roman" w:hAnsi="Times New Roman" w:cs="Times New Roman" w:hint="eastAsia"/>
          <w:sz w:val="22"/>
        </w:rPr>
        <w:t xml:space="preserve"> is required to go via RRC_IDLE.</w:t>
      </w:r>
    </w:p>
    <w:p w:rsidR="005A66BB" w:rsidRDefault="005A66BB" w:rsidP="0076164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D11195" w:rsidRDefault="005A66BB" w:rsidP="0076164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It is obvious that the UE experiences less service interruption time in the case 1 than in the case 2. In other words, if the target cell belongs to a prepared </w:t>
      </w:r>
      <w:proofErr w:type="spellStart"/>
      <w:r>
        <w:rPr>
          <w:rFonts w:ascii="Times New Roman" w:hAnsi="Times New Roman" w:cs="Times New Roman" w:hint="eastAsia"/>
          <w:sz w:val="22"/>
        </w:rPr>
        <w:t>eNB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(i.e., an </w:t>
      </w:r>
      <w:proofErr w:type="spellStart"/>
      <w:r>
        <w:rPr>
          <w:rFonts w:ascii="Times New Roman" w:hAnsi="Times New Roman" w:cs="Times New Roman" w:hint="eastAsia"/>
          <w:sz w:val="22"/>
        </w:rPr>
        <w:t>eNB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which has admitted the UE during an earlier executed handover preparation phase, or obtains the UE context from the previously serving </w:t>
      </w:r>
      <w:proofErr w:type="spellStart"/>
      <w:r>
        <w:rPr>
          <w:rFonts w:ascii="Times New Roman" w:hAnsi="Times New Roman" w:cs="Times New Roman" w:hint="eastAsia"/>
          <w:sz w:val="22"/>
        </w:rPr>
        <w:t>eNB</w:t>
      </w:r>
      <w:proofErr w:type="spellEnd"/>
      <w:r>
        <w:rPr>
          <w:rFonts w:ascii="Times New Roman" w:hAnsi="Times New Roman" w:cs="Times New Roman" w:hint="eastAsia"/>
          <w:sz w:val="22"/>
        </w:rPr>
        <w:t>), the service interruption time becomes shor</w:t>
      </w:r>
      <w:r w:rsidR="00D11195">
        <w:rPr>
          <w:rFonts w:ascii="Times New Roman" w:hAnsi="Times New Roman" w:cs="Times New Roman" w:hint="eastAsia"/>
          <w:sz w:val="22"/>
        </w:rPr>
        <w:t>ter.</w:t>
      </w:r>
    </w:p>
    <w:p w:rsidR="00817C90" w:rsidRDefault="00817C90" w:rsidP="0076164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BD0E38" w:rsidRDefault="00D11195" w:rsidP="0076164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NR, it is expected that the CU-DU architecture will be implemented, where a CU (Centralized Unit) manages a large number of cells formed by DUs (Distributed Units)</w:t>
      </w:r>
      <w:r w:rsidR="009751E9">
        <w:rPr>
          <w:rFonts w:ascii="Times New Roman" w:hAnsi="Times New Roman" w:cs="Times New Roman" w:hint="eastAsia"/>
          <w:sz w:val="22"/>
        </w:rPr>
        <w:t xml:space="preserve">. Hence, the CU may have context information of the UEs served by the cells under </w:t>
      </w:r>
      <w:proofErr w:type="gramStart"/>
      <w:r w:rsidR="009751E9">
        <w:rPr>
          <w:rFonts w:ascii="Times New Roman" w:hAnsi="Times New Roman" w:cs="Times New Roman" w:hint="eastAsia"/>
          <w:sz w:val="22"/>
        </w:rPr>
        <w:t>itself</w:t>
      </w:r>
      <w:proofErr w:type="gramEnd"/>
      <w:r w:rsidR="009751E9">
        <w:rPr>
          <w:rFonts w:ascii="Times New Roman" w:hAnsi="Times New Roman" w:cs="Times New Roman" w:hint="eastAsia"/>
          <w:sz w:val="22"/>
        </w:rPr>
        <w:t xml:space="preserve"> so that the frequency of the case </w:t>
      </w:r>
      <w:r w:rsidR="00636534">
        <w:rPr>
          <w:rFonts w:ascii="Times New Roman" w:hAnsi="Times New Roman" w:cs="Times New Roman" w:hint="eastAsia"/>
          <w:sz w:val="22"/>
        </w:rPr>
        <w:t>1</w:t>
      </w:r>
      <w:r w:rsidR="009751E9">
        <w:rPr>
          <w:rFonts w:ascii="Times New Roman" w:hAnsi="Times New Roman" w:cs="Times New Roman" w:hint="eastAsia"/>
          <w:sz w:val="22"/>
        </w:rPr>
        <w:t xml:space="preserve"> ma</w:t>
      </w:r>
      <w:r w:rsidR="00DE2843">
        <w:rPr>
          <w:rFonts w:ascii="Times New Roman" w:hAnsi="Times New Roman" w:cs="Times New Roman" w:hint="eastAsia"/>
          <w:sz w:val="22"/>
        </w:rPr>
        <w:t xml:space="preserve">y dominate </w:t>
      </w:r>
      <w:r w:rsidR="00BD0E38">
        <w:rPr>
          <w:rFonts w:ascii="Times New Roman" w:hAnsi="Times New Roman" w:cs="Times New Roman" w:hint="eastAsia"/>
          <w:sz w:val="22"/>
        </w:rPr>
        <w:t xml:space="preserve">that of the case </w:t>
      </w:r>
      <w:r w:rsidR="00636534">
        <w:rPr>
          <w:rFonts w:ascii="Times New Roman" w:hAnsi="Times New Roman" w:cs="Times New Roman" w:hint="eastAsia"/>
          <w:sz w:val="22"/>
        </w:rPr>
        <w:t>2</w:t>
      </w:r>
      <w:r w:rsidR="00BD0E38">
        <w:rPr>
          <w:rFonts w:ascii="Times New Roman" w:hAnsi="Times New Roman" w:cs="Times New Roman" w:hint="eastAsia"/>
          <w:sz w:val="22"/>
        </w:rPr>
        <w:t xml:space="preserve">. Due to such an availability of the context information at the CU, we </w:t>
      </w:r>
      <w:r w:rsidR="008B1A47">
        <w:rPr>
          <w:rFonts w:ascii="Times New Roman" w:hAnsi="Times New Roman" w:cs="Times New Roman" w:hint="eastAsia"/>
          <w:sz w:val="22"/>
        </w:rPr>
        <w:t>think</w:t>
      </w:r>
      <w:r w:rsidR="00BD0E38">
        <w:rPr>
          <w:rFonts w:ascii="Times New Roman" w:hAnsi="Times New Roman" w:cs="Times New Roman" w:hint="eastAsia"/>
          <w:sz w:val="22"/>
        </w:rPr>
        <w:t xml:space="preserve"> that fast RLF recovery schemes such as the early T310 terminat</w:t>
      </w:r>
      <w:r w:rsidR="00523A38">
        <w:rPr>
          <w:rFonts w:ascii="Times New Roman" w:hAnsi="Times New Roman" w:cs="Times New Roman" w:hint="eastAsia"/>
          <w:sz w:val="22"/>
        </w:rPr>
        <w:t xml:space="preserve">ion </w:t>
      </w:r>
      <w:r w:rsidR="00BD0E38">
        <w:rPr>
          <w:rFonts w:ascii="Times New Roman" w:hAnsi="Times New Roman" w:cs="Times New Roman" w:hint="eastAsia"/>
          <w:sz w:val="22"/>
        </w:rPr>
        <w:t>using T312 work efficiently.</w:t>
      </w:r>
    </w:p>
    <w:p w:rsidR="00876617" w:rsidRDefault="00876617" w:rsidP="0076164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144BD1" w:rsidRDefault="00144BD1" w:rsidP="00144BD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817C90">
        <w:rPr>
          <w:rFonts w:ascii="Times New Roman" w:hAnsi="Times New Roman" w:cs="Times New Roman" w:hint="eastAsia"/>
          <w:b/>
          <w:sz w:val="22"/>
        </w:rPr>
        <w:t xml:space="preserve">Observation </w:t>
      </w:r>
      <w:r>
        <w:rPr>
          <w:rFonts w:ascii="Times New Roman" w:hAnsi="Times New Roman" w:cs="Times New Roman" w:hint="eastAsia"/>
          <w:b/>
          <w:sz w:val="22"/>
        </w:rPr>
        <w:t>4</w:t>
      </w:r>
      <w:r w:rsidRPr="00817C90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Pr="00144BD1">
        <w:rPr>
          <w:rFonts w:ascii="Times New Roman" w:hAnsi="Times New Roman" w:cs="Times New Roman" w:hint="eastAsia"/>
          <w:i/>
          <w:sz w:val="22"/>
        </w:rPr>
        <w:t>In the CU-DU architecture, the target cell for handover can easily obtain the UE</w:t>
      </w:r>
      <w:r w:rsidRPr="00144BD1">
        <w:rPr>
          <w:rFonts w:ascii="Times New Roman" w:hAnsi="Times New Roman" w:cs="Times New Roman"/>
          <w:i/>
          <w:sz w:val="22"/>
        </w:rPr>
        <w:t>’</w:t>
      </w:r>
      <w:r w:rsidRPr="00144BD1">
        <w:rPr>
          <w:rFonts w:ascii="Times New Roman" w:hAnsi="Times New Roman" w:cs="Times New Roman" w:hint="eastAsia"/>
          <w:i/>
          <w:sz w:val="22"/>
        </w:rPr>
        <w:t>s context information from the previously serving cell via the CU. This aspect can make the time from the UE</w:t>
      </w:r>
      <w:r w:rsidRPr="00144BD1">
        <w:rPr>
          <w:rFonts w:ascii="Times New Roman" w:hAnsi="Times New Roman" w:cs="Times New Roman"/>
          <w:i/>
          <w:sz w:val="22"/>
        </w:rPr>
        <w:t>’</w:t>
      </w:r>
      <w:r w:rsidRPr="00144BD1">
        <w:rPr>
          <w:rFonts w:ascii="Times New Roman" w:hAnsi="Times New Roman" w:cs="Times New Roman" w:hint="eastAsia"/>
          <w:i/>
          <w:sz w:val="22"/>
        </w:rPr>
        <w:t>s RLF declaration to the connection re-establishment shorter.</w:t>
      </w:r>
    </w:p>
    <w:p w:rsidR="00A36E5F" w:rsidRPr="001A684A" w:rsidRDefault="00A36E5F" w:rsidP="00A36E5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817C90">
        <w:rPr>
          <w:rFonts w:ascii="Times New Roman" w:hAnsi="Times New Roman" w:cs="Times New Roman" w:hint="eastAsia"/>
          <w:b/>
          <w:sz w:val="22"/>
        </w:rPr>
        <w:t>Proposal 2: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Pr="001A684A">
        <w:rPr>
          <w:rFonts w:ascii="Times New Roman" w:hAnsi="Times New Roman" w:cs="Times New Roman" w:hint="eastAsia"/>
          <w:i/>
          <w:sz w:val="22"/>
        </w:rPr>
        <w:t>RAN2 should study fast RLF recovery schemes based on the T312 operation (i.e., RLF declaration before the expiry of T310), which is already specified in LTE.</w:t>
      </w:r>
    </w:p>
    <w:p w:rsidR="004A2479" w:rsidRDefault="00642207" w:rsidP="004A2479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Conclusion</w:t>
      </w:r>
    </w:p>
    <w:p w:rsidR="00AA6E2E" w:rsidRDefault="00AA6E2E" w:rsidP="00AA6E2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1E058F">
        <w:rPr>
          <w:rFonts w:ascii="Times New Roman" w:hAnsi="Times New Roman" w:cs="Times New Roman" w:hint="eastAsia"/>
          <w:b/>
          <w:sz w:val="22"/>
        </w:rPr>
        <w:t>Observation 1: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Pr="001E058F">
        <w:rPr>
          <w:rFonts w:ascii="Times New Roman" w:hAnsi="Times New Roman" w:cs="Times New Roman" w:hint="eastAsia"/>
          <w:i/>
          <w:sz w:val="22"/>
        </w:rPr>
        <w:t>In LTE, the operation of T310 is defined as a method for a UE to declare RLF.</w:t>
      </w:r>
    </w:p>
    <w:p w:rsidR="00AA6E2E" w:rsidRPr="006A3396" w:rsidRDefault="00AA6E2E" w:rsidP="00AA6E2E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6A3396">
        <w:rPr>
          <w:rFonts w:ascii="Times New Roman" w:hAnsi="Times New Roman" w:cs="Times New Roman" w:hint="eastAsia"/>
          <w:b/>
          <w:sz w:val="22"/>
        </w:rPr>
        <w:t xml:space="preserve">Observation </w:t>
      </w:r>
      <w:r>
        <w:rPr>
          <w:rFonts w:ascii="Times New Roman" w:hAnsi="Times New Roman" w:cs="Times New Roman" w:hint="eastAsia"/>
          <w:b/>
          <w:sz w:val="22"/>
        </w:rPr>
        <w:t>2</w:t>
      </w:r>
      <w:r w:rsidRPr="006A3396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 w:rsidRPr="006A3396">
        <w:rPr>
          <w:rFonts w:ascii="Times New Roman" w:hAnsi="Times New Roman" w:cs="Times New Roman" w:hint="eastAsia"/>
          <w:i/>
          <w:sz w:val="22"/>
        </w:rPr>
        <w:t xml:space="preserve">The operation of T312, in which </w:t>
      </w:r>
      <w:r>
        <w:rPr>
          <w:rFonts w:ascii="Times New Roman" w:hAnsi="Times New Roman" w:cs="Times New Roman" w:hint="eastAsia"/>
          <w:i/>
          <w:sz w:val="22"/>
        </w:rPr>
        <w:t xml:space="preserve">a </w:t>
      </w:r>
      <w:r w:rsidRPr="006A3396">
        <w:rPr>
          <w:rFonts w:ascii="Times New Roman" w:hAnsi="Times New Roman" w:cs="Times New Roman" w:hint="eastAsia"/>
          <w:i/>
          <w:sz w:val="22"/>
        </w:rPr>
        <w:t>UE is allowed to declare RLF before the expiry of T310, is beneficial to reduce service interruption time.</w:t>
      </w:r>
    </w:p>
    <w:p w:rsidR="00AA6E2E" w:rsidRDefault="00AA6E2E" w:rsidP="00AA6E2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Observation 3: </w:t>
      </w:r>
      <w:r w:rsidRPr="00537E1C">
        <w:rPr>
          <w:rFonts w:ascii="Times New Roman" w:hAnsi="Times New Roman" w:cs="Times New Roman" w:hint="eastAsia"/>
          <w:i/>
          <w:sz w:val="22"/>
        </w:rPr>
        <w:t>In LTE, we observed that the main cause of handover failure i</w:t>
      </w:r>
      <w:r w:rsidR="00144BD1">
        <w:rPr>
          <w:rFonts w:ascii="Times New Roman" w:hAnsi="Times New Roman" w:cs="Times New Roman" w:hint="eastAsia"/>
          <w:i/>
          <w:sz w:val="22"/>
        </w:rPr>
        <w:t xml:space="preserve">s because a UE fails to receive </w:t>
      </w:r>
      <w:r w:rsidRPr="00537E1C">
        <w:rPr>
          <w:rFonts w:ascii="Times New Roman" w:hAnsi="Times New Roman" w:cs="Times New Roman" w:hint="eastAsia"/>
          <w:i/>
          <w:sz w:val="22"/>
        </w:rPr>
        <w:t xml:space="preserve">handover command from a serving cell. Since NR also relies on the handover command to initiate </w:t>
      </w:r>
      <w:r w:rsidR="00144BD1">
        <w:rPr>
          <w:rFonts w:ascii="Times New Roman" w:hAnsi="Times New Roman" w:cs="Times New Roman"/>
          <w:i/>
          <w:sz w:val="22"/>
        </w:rPr>
        <w:t>handover</w:t>
      </w:r>
      <w:r w:rsidR="00144BD1">
        <w:rPr>
          <w:rFonts w:ascii="Times New Roman" w:hAnsi="Times New Roman" w:cs="Times New Roman" w:hint="eastAsia"/>
          <w:i/>
          <w:sz w:val="22"/>
        </w:rPr>
        <w:t xml:space="preserve"> </w:t>
      </w:r>
      <w:r w:rsidRPr="00537E1C">
        <w:rPr>
          <w:rFonts w:ascii="Times New Roman" w:hAnsi="Times New Roman" w:cs="Times New Roman"/>
          <w:i/>
          <w:sz w:val="22"/>
        </w:rPr>
        <w:t>(i.</w:t>
      </w:r>
      <w:r w:rsidRPr="00537E1C">
        <w:rPr>
          <w:rFonts w:ascii="Times New Roman" w:hAnsi="Times New Roman" w:cs="Times New Roman" w:hint="eastAsia"/>
          <w:i/>
          <w:sz w:val="22"/>
        </w:rPr>
        <w:t>e., network-based mobility), it is expect</w:t>
      </w:r>
      <w:r>
        <w:rPr>
          <w:rFonts w:ascii="Times New Roman" w:hAnsi="Times New Roman" w:cs="Times New Roman" w:hint="eastAsia"/>
          <w:i/>
          <w:sz w:val="22"/>
        </w:rPr>
        <w:t xml:space="preserve">ed </w:t>
      </w:r>
      <w:r w:rsidRPr="00537E1C">
        <w:rPr>
          <w:rFonts w:ascii="Times New Roman" w:hAnsi="Times New Roman" w:cs="Times New Roman" w:hint="eastAsia"/>
          <w:i/>
          <w:sz w:val="22"/>
        </w:rPr>
        <w:t>that NR will have the same problem as in LTE.</w:t>
      </w:r>
    </w:p>
    <w:p w:rsidR="00AA6E2E" w:rsidRDefault="00AA6E2E" w:rsidP="00AA6E2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817C90">
        <w:rPr>
          <w:rFonts w:ascii="Times New Roman" w:hAnsi="Times New Roman" w:cs="Times New Roman" w:hint="eastAsia"/>
          <w:b/>
          <w:sz w:val="22"/>
        </w:rPr>
        <w:lastRenderedPageBreak/>
        <w:t xml:space="preserve">Observation </w:t>
      </w:r>
      <w:r w:rsidR="00144BD1">
        <w:rPr>
          <w:rFonts w:ascii="Times New Roman" w:hAnsi="Times New Roman" w:cs="Times New Roman" w:hint="eastAsia"/>
          <w:b/>
          <w:sz w:val="22"/>
        </w:rPr>
        <w:t>4</w:t>
      </w:r>
      <w:r w:rsidRPr="00817C90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="00144BD1" w:rsidRPr="00144BD1">
        <w:rPr>
          <w:rFonts w:ascii="Times New Roman" w:hAnsi="Times New Roman" w:cs="Times New Roman" w:hint="eastAsia"/>
          <w:i/>
          <w:sz w:val="22"/>
        </w:rPr>
        <w:t>In the CU-DU architecture, the</w:t>
      </w:r>
      <w:r w:rsidRPr="00144BD1">
        <w:rPr>
          <w:rFonts w:ascii="Times New Roman" w:hAnsi="Times New Roman" w:cs="Times New Roman" w:hint="eastAsia"/>
          <w:i/>
          <w:sz w:val="22"/>
        </w:rPr>
        <w:t xml:space="preserve"> target cell</w:t>
      </w:r>
      <w:r w:rsidR="00144BD1" w:rsidRPr="00144BD1">
        <w:rPr>
          <w:rFonts w:ascii="Times New Roman" w:hAnsi="Times New Roman" w:cs="Times New Roman" w:hint="eastAsia"/>
          <w:i/>
          <w:sz w:val="22"/>
        </w:rPr>
        <w:t xml:space="preserve"> for handover can easily obtain the UE</w:t>
      </w:r>
      <w:r w:rsidR="00144BD1" w:rsidRPr="00144BD1">
        <w:rPr>
          <w:rFonts w:ascii="Times New Roman" w:hAnsi="Times New Roman" w:cs="Times New Roman"/>
          <w:i/>
          <w:sz w:val="22"/>
        </w:rPr>
        <w:t>’</w:t>
      </w:r>
      <w:r w:rsidR="00144BD1" w:rsidRPr="00144BD1">
        <w:rPr>
          <w:rFonts w:ascii="Times New Roman" w:hAnsi="Times New Roman" w:cs="Times New Roman" w:hint="eastAsia"/>
          <w:i/>
          <w:sz w:val="22"/>
        </w:rPr>
        <w:t xml:space="preserve">s </w:t>
      </w:r>
      <w:r w:rsidRPr="00144BD1">
        <w:rPr>
          <w:rFonts w:ascii="Times New Roman" w:hAnsi="Times New Roman" w:cs="Times New Roman" w:hint="eastAsia"/>
          <w:i/>
          <w:sz w:val="22"/>
        </w:rPr>
        <w:t>context</w:t>
      </w:r>
      <w:r w:rsidR="00144BD1" w:rsidRPr="00144BD1">
        <w:rPr>
          <w:rFonts w:ascii="Times New Roman" w:hAnsi="Times New Roman" w:cs="Times New Roman" w:hint="eastAsia"/>
          <w:i/>
          <w:sz w:val="22"/>
        </w:rPr>
        <w:t xml:space="preserve"> information</w:t>
      </w:r>
      <w:r w:rsidRPr="00144BD1">
        <w:rPr>
          <w:rFonts w:ascii="Times New Roman" w:hAnsi="Times New Roman" w:cs="Times New Roman" w:hint="eastAsia"/>
          <w:i/>
          <w:sz w:val="22"/>
        </w:rPr>
        <w:t xml:space="preserve"> from </w:t>
      </w:r>
      <w:r w:rsidR="00144BD1" w:rsidRPr="00144BD1">
        <w:rPr>
          <w:rFonts w:ascii="Times New Roman" w:hAnsi="Times New Roman" w:cs="Times New Roman" w:hint="eastAsia"/>
          <w:i/>
          <w:sz w:val="22"/>
        </w:rPr>
        <w:t xml:space="preserve">the </w:t>
      </w:r>
      <w:r w:rsidRPr="00144BD1">
        <w:rPr>
          <w:rFonts w:ascii="Times New Roman" w:hAnsi="Times New Roman" w:cs="Times New Roman" w:hint="eastAsia"/>
          <w:i/>
          <w:sz w:val="22"/>
        </w:rPr>
        <w:t xml:space="preserve">previously serving cell via </w:t>
      </w:r>
      <w:r w:rsidR="00144BD1" w:rsidRPr="00144BD1">
        <w:rPr>
          <w:rFonts w:ascii="Times New Roman" w:hAnsi="Times New Roman" w:cs="Times New Roman" w:hint="eastAsia"/>
          <w:i/>
          <w:sz w:val="22"/>
        </w:rPr>
        <w:t xml:space="preserve">the </w:t>
      </w:r>
      <w:r w:rsidRPr="00144BD1">
        <w:rPr>
          <w:rFonts w:ascii="Times New Roman" w:hAnsi="Times New Roman" w:cs="Times New Roman" w:hint="eastAsia"/>
          <w:i/>
          <w:sz w:val="22"/>
        </w:rPr>
        <w:t>CU. This aspect can make the time from the UE</w:t>
      </w:r>
      <w:r w:rsidRPr="00144BD1">
        <w:rPr>
          <w:rFonts w:ascii="Times New Roman" w:hAnsi="Times New Roman" w:cs="Times New Roman"/>
          <w:i/>
          <w:sz w:val="22"/>
        </w:rPr>
        <w:t>’</w:t>
      </w:r>
      <w:r w:rsidRPr="00144BD1">
        <w:rPr>
          <w:rFonts w:ascii="Times New Roman" w:hAnsi="Times New Roman" w:cs="Times New Roman" w:hint="eastAsia"/>
          <w:i/>
          <w:sz w:val="22"/>
        </w:rPr>
        <w:t>s RLF declaration to the connection re-establishment shorter.</w:t>
      </w:r>
    </w:p>
    <w:p w:rsidR="00144BD1" w:rsidRDefault="00144BD1" w:rsidP="00AA6E2E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</w:p>
    <w:p w:rsidR="00AA6E2E" w:rsidRDefault="00AA6E2E" w:rsidP="00AA6E2E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Proposal 1: </w:t>
      </w:r>
      <w:r w:rsidRPr="00817C90">
        <w:rPr>
          <w:rFonts w:ascii="Times New Roman" w:hAnsi="Times New Roman" w:cs="Times New Roman"/>
          <w:i/>
          <w:sz w:val="22"/>
        </w:rPr>
        <w:t>The RLF procedure in LTE, which includes radio problem detection and RLF detection, should be considered as a baseline in NR.</w:t>
      </w:r>
    </w:p>
    <w:p w:rsidR="00AA6E2E" w:rsidRPr="001A684A" w:rsidRDefault="00AA6E2E" w:rsidP="00AA6E2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817C90">
        <w:rPr>
          <w:rFonts w:ascii="Times New Roman" w:hAnsi="Times New Roman" w:cs="Times New Roman" w:hint="eastAsia"/>
          <w:b/>
          <w:sz w:val="22"/>
        </w:rPr>
        <w:t>Proposal 2:</w:t>
      </w:r>
      <w:r w:rsidR="001A684A">
        <w:rPr>
          <w:rFonts w:ascii="Times New Roman" w:hAnsi="Times New Roman" w:cs="Times New Roman" w:hint="eastAsia"/>
          <w:sz w:val="22"/>
        </w:rPr>
        <w:t xml:space="preserve"> </w:t>
      </w:r>
      <w:r w:rsidR="001A684A" w:rsidRPr="001A684A">
        <w:rPr>
          <w:rFonts w:ascii="Times New Roman" w:hAnsi="Times New Roman" w:cs="Times New Roman" w:hint="eastAsia"/>
          <w:i/>
          <w:sz w:val="22"/>
        </w:rPr>
        <w:t xml:space="preserve">RAN2 should study fast RLF recovery schemes based on the </w:t>
      </w:r>
      <w:r w:rsidR="005A413E">
        <w:rPr>
          <w:rFonts w:ascii="Times New Roman" w:hAnsi="Times New Roman" w:cs="Times New Roman" w:hint="eastAsia"/>
          <w:i/>
          <w:sz w:val="22"/>
        </w:rPr>
        <w:t xml:space="preserve">operation of </w:t>
      </w:r>
      <w:r w:rsidR="001A684A" w:rsidRPr="001A684A">
        <w:rPr>
          <w:rFonts w:ascii="Times New Roman" w:hAnsi="Times New Roman" w:cs="Times New Roman" w:hint="eastAsia"/>
          <w:i/>
          <w:sz w:val="22"/>
        </w:rPr>
        <w:t>T312</w:t>
      </w:r>
      <w:r w:rsidR="005A413E">
        <w:rPr>
          <w:rFonts w:ascii="Times New Roman" w:hAnsi="Times New Roman" w:cs="Times New Roman" w:hint="eastAsia"/>
          <w:i/>
          <w:sz w:val="22"/>
        </w:rPr>
        <w:t xml:space="preserve"> </w:t>
      </w:r>
      <w:r w:rsidR="001A684A" w:rsidRPr="001A684A">
        <w:rPr>
          <w:rFonts w:ascii="Times New Roman" w:hAnsi="Times New Roman" w:cs="Times New Roman" w:hint="eastAsia"/>
          <w:i/>
          <w:sz w:val="22"/>
        </w:rPr>
        <w:t>(i.e., RLF declaration before the expiry of T310), which is already specified in LTE.</w:t>
      </w:r>
    </w:p>
    <w:p w:rsidR="00642207" w:rsidRDefault="00642207" w:rsidP="00642207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Reference</w:t>
      </w:r>
    </w:p>
    <w:p w:rsidR="00642207" w:rsidRDefault="00642207" w:rsidP="00642207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[1]</w:t>
      </w:r>
      <w:r>
        <w:rPr>
          <w:rFonts w:ascii="Times New Roman" w:hAnsi="Times New Roman" w:cs="Times New Roman" w:hint="eastAsia"/>
          <w:sz w:val="22"/>
        </w:rPr>
        <w:tab/>
        <w:t xml:space="preserve">3GPP TS 36.331 V13.3.0,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Radio Resource Control (RRC); Protocol Specification,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October 2016.</w:t>
      </w:r>
    </w:p>
    <w:p w:rsidR="00642207" w:rsidRPr="00642207" w:rsidRDefault="00642207" w:rsidP="00642207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[2]</w:t>
      </w:r>
      <w:r>
        <w:rPr>
          <w:rFonts w:ascii="Times New Roman" w:hAnsi="Times New Roman" w:cs="Times New Roman" w:hint="eastAsia"/>
          <w:sz w:val="22"/>
        </w:rPr>
        <w:tab/>
        <w:t xml:space="preserve">3GPP TS 36.300 V13.5.0,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E-UTRA and E-UTRAN; Overall Description; Stage 2,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September 2016.</w:t>
      </w:r>
    </w:p>
    <w:sectPr w:rsidR="00642207" w:rsidRPr="00642207" w:rsidSect="00985523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3C7" w:rsidRDefault="00D143C7" w:rsidP="00C82ABC">
      <w:pPr>
        <w:spacing w:after="0" w:line="240" w:lineRule="auto"/>
      </w:pPr>
      <w:r>
        <w:separator/>
      </w:r>
    </w:p>
  </w:endnote>
  <w:endnote w:type="continuationSeparator" w:id="0">
    <w:p w:rsidR="00D143C7" w:rsidRDefault="00D143C7" w:rsidP="00C82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3C7" w:rsidRDefault="00D143C7" w:rsidP="00C82ABC">
      <w:pPr>
        <w:spacing w:after="0" w:line="240" w:lineRule="auto"/>
      </w:pPr>
      <w:r>
        <w:separator/>
      </w:r>
    </w:p>
  </w:footnote>
  <w:footnote w:type="continuationSeparator" w:id="0">
    <w:p w:rsidR="00D143C7" w:rsidRDefault="00D143C7" w:rsidP="00C82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854E0"/>
    <w:multiLevelType w:val="hybridMultilevel"/>
    <w:tmpl w:val="DF0082FA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90D6FAD"/>
    <w:multiLevelType w:val="hybridMultilevel"/>
    <w:tmpl w:val="A1A24736"/>
    <w:lvl w:ilvl="0" w:tplc="FB04831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A464C90"/>
    <w:multiLevelType w:val="hybridMultilevel"/>
    <w:tmpl w:val="2196FB28"/>
    <w:lvl w:ilvl="0" w:tplc="676296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BF26B8A"/>
    <w:multiLevelType w:val="hybridMultilevel"/>
    <w:tmpl w:val="B36E12A8"/>
    <w:lvl w:ilvl="0" w:tplc="BC6291F4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C8C0601"/>
    <w:multiLevelType w:val="hybridMultilevel"/>
    <w:tmpl w:val="ADDAFD8C"/>
    <w:lvl w:ilvl="0" w:tplc="E690C90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CE73377"/>
    <w:multiLevelType w:val="hybridMultilevel"/>
    <w:tmpl w:val="18805BD0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F450034"/>
    <w:multiLevelType w:val="hybridMultilevel"/>
    <w:tmpl w:val="BCD0043A"/>
    <w:lvl w:ilvl="0" w:tplc="A85436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39B4B4F"/>
    <w:multiLevelType w:val="hybridMultilevel"/>
    <w:tmpl w:val="A24A651C"/>
    <w:lvl w:ilvl="0" w:tplc="0CA2108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AC707C8"/>
    <w:multiLevelType w:val="hybridMultilevel"/>
    <w:tmpl w:val="EBE2E15E"/>
    <w:lvl w:ilvl="0" w:tplc="523A00BA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D85267D"/>
    <w:multiLevelType w:val="hybridMultilevel"/>
    <w:tmpl w:val="F3F803C2"/>
    <w:lvl w:ilvl="0" w:tplc="8C065F3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2C23814"/>
    <w:multiLevelType w:val="hybridMultilevel"/>
    <w:tmpl w:val="03067A10"/>
    <w:lvl w:ilvl="0" w:tplc="A9C2FD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4A875C9"/>
    <w:multiLevelType w:val="multilevel"/>
    <w:tmpl w:val="58D6743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711"/>
        </w:tabs>
        <w:ind w:left="171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FFFFFF" w:themeColor="background1"/>
        <w:spacing w:val="0"/>
        <w:w w:val="0"/>
        <w:kern w:val="0"/>
        <w:position w:val="0"/>
        <w:sz w:val="28"/>
        <w:szCs w:val="3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E0D5972"/>
    <w:multiLevelType w:val="hybridMultilevel"/>
    <w:tmpl w:val="4650FE1C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0B6709A"/>
    <w:multiLevelType w:val="hybridMultilevel"/>
    <w:tmpl w:val="26468F8A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0B70AC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28378B9"/>
    <w:multiLevelType w:val="hybridMultilevel"/>
    <w:tmpl w:val="4D9E00A8"/>
    <w:lvl w:ilvl="0" w:tplc="04090011">
      <w:start w:val="1"/>
      <w:numFmt w:val="decimalEnclosedCircle"/>
      <w:lvlText w:val="%1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5897741"/>
    <w:multiLevelType w:val="hybridMultilevel"/>
    <w:tmpl w:val="648004B2"/>
    <w:lvl w:ilvl="0" w:tplc="82380AC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75F7C63"/>
    <w:multiLevelType w:val="hybridMultilevel"/>
    <w:tmpl w:val="0128A252"/>
    <w:lvl w:ilvl="0" w:tplc="0470B49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39EB331A"/>
    <w:multiLevelType w:val="hybridMultilevel"/>
    <w:tmpl w:val="4DDC4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>
    <w:nsid w:val="4207499D"/>
    <w:multiLevelType w:val="hybridMultilevel"/>
    <w:tmpl w:val="AF389B0A"/>
    <w:lvl w:ilvl="0" w:tplc="19F895E4">
      <w:start w:val="1"/>
      <w:numFmt w:val="lowerLetter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4">
    <w:nsid w:val="436120E1"/>
    <w:multiLevelType w:val="hybridMultilevel"/>
    <w:tmpl w:val="1A126860"/>
    <w:lvl w:ilvl="0" w:tplc="523A00BA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6265DAE"/>
    <w:multiLevelType w:val="hybridMultilevel"/>
    <w:tmpl w:val="6F8472EC"/>
    <w:lvl w:ilvl="0" w:tplc="A41AE546">
      <w:start w:val="1"/>
      <w:numFmt w:val="lowerLetter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>
    <w:nsid w:val="4751268D"/>
    <w:multiLevelType w:val="hybridMultilevel"/>
    <w:tmpl w:val="3CAE3BD0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9B9091F"/>
    <w:multiLevelType w:val="hybridMultilevel"/>
    <w:tmpl w:val="E13EBB7C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1FF2D326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4D5B6FD9"/>
    <w:multiLevelType w:val="hybridMultilevel"/>
    <w:tmpl w:val="9058F05C"/>
    <w:lvl w:ilvl="0" w:tplc="4F00234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50DD7E26"/>
    <w:multiLevelType w:val="hybridMultilevel"/>
    <w:tmpl w:val="40A0BE7A"/>
    <w:lvl w:ilvl="0" w:tplc="360E281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59F971FC"/>
    <w:multiLevelType w:val="hybridMultilevel"/>
    <w:tmpl w:val="AA389210"/>
    <w:lvl w:ilvl="0" w:tplc="09929BA6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1">
    <w:nsid w:val="5A29151F"/>
    <w:multiLevelType w:val="hybridMultilevel"/>
    <w:tmpl w:val="96B4F3B4"/>
    <w:lvl w:ilvl="0" w:tplc="A9C2FD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5A4F54F9"/>
    <w:multiLevelType w:val="hybridMultilevel"/>
    <w:tmpl w:val="1F7C2D86"/>
    <w:lvl w:ilvl="0" w:tplc="042ECE7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B6C0574"/>
    <w:multiLevelType w:val="hybridMultilevel"/>
    <w:tmpl w:val="D6E828F2"/>
    <w:lvl w:ilvl="0" w:tplc="A9C2FD3E">
      <w:start w:val="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5D6E0AC7"/>
    <w:multiLevelType w:val="hybridMultilevel"/>
    <w:tmpl w:val="DCE0116E"/>
    <w:lvl w:ilvl="0" w:tplc="1ABA971C">
      <w:start w:val="4"/>
      <w:numFmt w:val="bullet"/>
      <w:lvlText w:val="–"/>
      <w:lvlJc w:val="left"/>
      <w:pPr>
        <w:ind w:left="800" w:hanging="400"/>
      </w:pPr>
      <w:rPr>
        <w:rFonts w:ascii="바탕" w:eastAsia="바탕" w:hAnsi="바탕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5E9832F1"/>
    <w:multiLevelType w:val="hybridMultilevel"/>
    <w:tmpl w:val="183C0688"/>
    <w:lvl w:ilvl="0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7">
    <w:nsid w:val="60E50B8B"/>
    <w:multiLevelType w:val="hybridMultilevel"/>
    <w:tmpl w:val="EEF6E60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16E05EB"/>
    <w:multiLevelType w:val="hybridMultilevel"/>
    <w:tmpl w:val="82CAF4A0"/>
    <w:lvl w:ilvl="0" w:tplc="D5A23ECE">
      <w:start w:val="4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68457929"/>
    <w:multiLevelType w:val="hybridMultilevel"/>
    <w:tmpl w:val="CF104F08"/>
    <w:lvl w:ilvl="0" w:tplc="12E65254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6B2A7E1E"/>
    <w:multiLevelType w:val="hybridMultilevel"/>
    <w:tmpl w:val="3D729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DC75B2"/>
    <w:multiLevelType w:val="hybridMultilevel"/>
    <w:tmpl w:val="27F2C84E"/>
    <w:lvl w:ilvl="0" w:tplc="816EE4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725E3EF1"/>
    <w:multiLevelType w:val="hybridMultilevel"/>
    <w:tmpl w:val="D6981E68"/>
    <w:lvl w:ilvl="0" w:tplc="2C76FAB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9A6A6C28">
      <w:start w:val="1"/>
      <w:numFmt w:val="bullet"/>
      <w:lvlText w:val="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>
    <w:nsid w:val="75AD3C36"/>
    <w:multiLevelType w:val="hybridMultilevel"/>
    <w:tmpl w:val="C804DC02"/>
    <w:lvl w:ilvl="0" w:tplc="D91465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5">
    <w:nsid w:val="76A32CEB"/>
    <w:multiLevelType w:val="hybridMultilevel"/>
    <w:tmpl w:val="6D12B0D6"/>
    <w:lvl w:ilvl="0" w:tplc="A8EC00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>
    <w:nsid w:val="776D69EB"/>
    <w:multiLevelType w:val="hybridMultilevel"/>
    <w:tmpl w:val="D9AE6614"/>
    <w:lvl w:ilvl="0" w:tplc="4192E6C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>
    <w:nsid w:val="7A67142E"/>
    <w:multiLevelType w:val="hybridMultilevel"/>
    <w:tmpl w:val="E334C032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E4FC5552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  <w:lang w:val="en-US"/>
      </w:rPr>
    </w:lvl>
    <w:lvl w:ilvl="2" w:tplc="9A6A6C28">
      <w:start w:val="1"/>
      <w:numFmt w:val="bullet"/>
      <w:lvlText w:val="§"/>
      <w:lvlJc w:val="left"/>
      <w:pPr>
        <w:ind w:left="1600" w:hanging="400"/>
      </w:pPr>
      <w:rPr>
        <w:rFonts w:ascii="Wingdings" w:hAnsi="Wingdings" w:hint="default"/>
        <w:lang w:val="en-US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D754E9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48"/>
  </w:num>
  <w:num w:numId="4">
    <w:abstractNumId w:val="38"/>
  </w:num>
  <w:num w:numId="5">
    <w:abstractNumId w:val="21"/>
  </w:num>
  <w:num w:numId="6">
    <w:abstractNumId w:val="8"/>
  </w:num>
  <w:num w:numId="7">
    <w:abstractNumId w:val="13"/>
  </w:num>
  <w:num w:numId="8">
    <w:abstractNumId w:val="46"/>
  </w:num>
  <w:num w:numId="9">
    <w:abstractNumId w:val="44"/>
  </w:num>
  <w:num w:numId="10">
    <w:abstractNumId w:val="43"/>
  </w:num>
  <w:num w:numId="11">
    <w:abstractNumId w:val="16"/>
  </w:num>
  <w:num w:numId="12">
    <w:abstractNumId w:val="49"/>
  </w:num>
  <w:num w:numId="13">
    <w:abstractNumId w:val="26"/>
  </w:num>
  <w:num w:numId="14">
    <w:abstractNumId w:val="5"/>
  </w:num>
  <w:num w:numId="15">
    <w:abstractNumId w:val="17"/>
  </w:num>
  <w:num w:numId="16">
    <w:abstractNumId w:val="34"/>
  </w:num>
  <w:num w:numId="17">
    <w:abstractNumId w:val="0"/>
  </w:num>
  <w:num w:numId="18">
    <w:abstractNumId w:val="41"/>
  </w:num>
  <w:num w:numId="19">
    <w:abstractNumId w:val="35"/>
  </w:num>
  <w:num w:numId="20">
    <w:abstractNumId w:val="28"/>
  </w:num>
  <w:num w:numId="21">
    <w:abstractNumId w:val="6"/>
  </w:num>
  <w:num w:numId="22">
    <w:abstractNumId w:val="30"/>
  </w:num>
  <w:num w:numId="23">
    <w:abstractNumId w:val="23"/>
  </w:num>
  <w:num w:numId="24">
    <w:abstractNumId w:val="2"/>
  </w:num>
  <w:num w:numId="25">
    <w:abstractNumId w:val="25"/>
  </w:num>
  <w:num w:numId="26">
    <w:abstractNumId w:val="19"/>
  </w:num>
  <w:num w:numId="27">
    <w:abstractNumId w:val="22"/>
  </w:num>
  <w:num w:numId="28">
    <w:abstractNumId w:val="20"/>
  </w:num>
  <w:num w:numId="29">
    <w:abstractNumId w:val="27"/>
  </w:num>
  <w:num w:numId="30">
    <w:abstractNumId w:val="47"/>
  </w:num>
  <w:num w:numId="31">
    <w:abstractNumId w:val="4"/>
  </w:num>
  <w:num w:numId="32">
    <w:abstractNumId w:val="29"/>
  </w:num>
  <w:num w:numId="33">
    <w:abstractNumId w:val="32"/>
  </w:num>
  <w:num w:numId="34">
    <w:abstractNumId w:val="10"/>
  </w:num>
  <w:num w:numId="35">
    <w:abstractNumId w:val="45"/>
  </w:num>
  <w:num w:numId="36">
    <w:abstractNumId w:val="42"/>
  </w:num>
  <w:num w:numId="37">
    <w:abstractNumId w:val="33"/>
  </w:num>
  <w:num w:numId="38">
    <w:abstractNumId w:val="11"/>
  </w:num>
  <w:num w:numId="39">
    <w:abstractNumId w:val="31"/>
  </w:num>
  <w:num w:numId="40">
    <w:abstractNumId w:val="9"/>
  </w:num>
  <w:num w:numId="41">
    <w:abstractNumId w:val="37"/>
  </w:num>
  <w:num w:numId="42">
    <w:abstractNumId w:val="15"/>
  </w:num>
  <w:num w:numId="43">
    <w:abstractNumId w:val="14"/>
  </w:num>
  <w:num w:numId="44">
    <w:abstractNumId w:val="36"/>
  </w:num>
  <w:num w:numId="45">
    <w:abstractNumId w:val="18"/>
  </w:num>
  <w:num w:numId="46">
    <w:abstractNumId w:val="39"/>
  </w:num>
  <w:num w:numId="47">
    <w:abstractNumId w:val="1"/>
  </w:num>
  <w:num w:numId="48">
    <w:abstractNumId w:val="24"/>
  </w:num>
  <w:num w:numId="49">
    <w:abstractNumId w:val="40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523"/>
    <w:rsid w:val="0000146A"/>
    <w:rsid w:val="000038F7"/>
    <w:rsid w:val="0001114C"/>
    <w:rsid w:val="00011866"/>
    <w:rsid w:val="00016E0A"/>
    <w:rsid w:val="00017ED1"/>
    <w:rsid w:val="00024049"/>
    <w:rsid w:val="0002429F"/>
    <w:rsid w:val="00025C6A"/>
    <w:rsid w:val="00033BE2"/>
    <w:rsid w:val="00036872"/>
    <w:rsid w:val="00037ED3"/>
    <w:rsid w:val="00040AF2"/>
    <w:rsid w:val="000425C3"/>
    <w:rsid w:val="00044272"/>
    <w:rsid w:val="00050286"/>
    <w:rsid w:val="00060606"/>
    <w:rsid w:val="00062004"/>
    <w:rsid w:val="00062269"/>
    <w:rsid w:val="00063443"/>
    <w:rsid w:val="00064C70"/>
    <w:rsid w:val="0006710E"/>
    <w:rsid w:val="00067A5F"/>
    <w:rsid w:val="0007081B"/>
    <w:rsid w:val="00072405"/>
    <w:rsid w:val="000737EC"/>
    <w:rsid w:val="00074648"/>
    <w:rsid w:val="000763D2"/>
    <w:rsid w:val="0007769D"/>
    <w:rsid w:val="0008093C"/>
    <w:rsid w:val="000824F1"/>
    <w:rsid w:val="00086E26"/>
    <w:rsid w:val="0009101D"/>
    <w:rsid w:val="00091188"/>
    <w:rsid w:val="000B0BE6"/>
    <w:rsid w:val="000B1E8A"/>
    <w:rsid w:val="000B1F81"/>
    <w:rsid w:val="000B3F3A"/>
    <w:rsid w:val="000B41FB"/>
    <w:rsid w:val="000B4C44"/>
    <w:rsid w:val="000B6E2E"/>
    <w:rsid w:val="000B7104"/>
    <w:rsid w:val="000B7998"/>
    <w:rsid w:val="000C4C24"/>
    <w:rsid w:val="000C7739"/>
    <w:rsid w:val="000D06A2"/>
    <w:rsid w:val="000D105C"/>
    <w:rsid w:val="000D169C"/>
    <w:rsid w:val="000D377A"/>
    <w:rsid w:val="000D4334"/>
    <w:rsid w:val="000D6089"/>
    <w:rsid w:val="000D793A"/>
    <w:rsid w:val="000E5B93"/>
    <w:rsid w:val="000E6A47"/>
    <w:rsid w:val="000E6CE3"/>
    <w:rsid w:val="000F1B1D"/>
    <w:rsid w:val="000F20C3"/>
    <w:rsid w:val="000F28A4"/>
    <w:rsid w:val="000F58C4"/>
    <w:rsid w:val="00110CA0"/>
    <w:rsid w:val="00111CA9"/>
    <w:rsid w:val="0011400E"/>
    <w:rsid w:val="00114071"/>
    <w:rsid w:val="00114B86"/>
    <w:rsid w:val="001152A9"/>
    <w:rsid w:val="001213AF"/>
    <w:rsid w:val="00122736"/>
    <w:rsid w:val="00123A3D"/>
    <w:rsid w:val="00126E45"/>
    <w:rsid w:val="0013112E"/>
    <w:rsid w:val="00131C49"/>
    <w:rsid w:val="00133657"/>
    <w:rsid w:val="00134DB6"/>
    <w:rsid w:val="00137D84"/>
    <w:rsid w:val="0014180C"/>
    <w:rsid w:val="00141B04"/>
    <w:rsid w:val="00143889"/>
    <w:rsid w:val="00143933"/>
    <w:rsid w:val="00144BD1"/>
    <w:rsid w:val="00150271"/>
    <w:rsid w:val="001528F0"/>
    <w:rsid w:val="001620AB"/>
    <w:rsid w:val="00164198"/>
    <w:rsid w:val="00165959"/>
    <w:rsid w:val="00165B3F"/>
    <w:rsid w:val="00170431"/>
    <w:rsid w:val="00170A6B"/>
    <w:rsid w:val="00175CEF"/>
    <w:rsid w:val="00176F14"/>
    <w:rsid w:val="00193D37"/>
    <w:rsid w:val="00195748"/>
    <w:rsid w:val="00196116"/>
    <w:rsid w:val="00196935"/>
    <w:rsid w:val="00197C6F"/>
    <w:rsid w:val="001A3353"/>
    <w:rsid w:val="001A4838"/>
    <w:rsid w:val="001A684A"/>
    <w:rsid w:val="001A78AD"/>
    <w:rsid w:val="001B08C3"/>
    <w:rsid w:val="001B0EFA"/>
    <w:rsid w:val="001D0B81"/>
    <w:rsid w:val="001E058F"/>
    <w:rsid w:val="001E1E08"/>
    <w:rsid w:val="001E2184"/>
    <w:rsid w:val="001E55B9"/>
    <w:rsid w:val="001F0C79"/>
    <w:rsid w:val="001F1631"/>
    <w:rsid w:val="001F20B7"/>
    <w:rsid w:val="001F2728"/>
    <w:rsid w:val="001F5029"/>
    <w:rsid w:val="001F5950"/>
    <w:rsid w:val="001F616B"/>
    <w:rsid w:val="001F65F7"/>
    <w:rsid w:val="001F7F7E"/>
    <w:rsid w:val="00200146"/>
    <w:rsid w:val="00201F7C"/>
    <w:rsid w:val="00202A80"/>
    <w:rsid w:val="00203262"/>
    <w:rsid w:val="0020413E"/>
    <w:rsid w:val="00215BA4"/>
    <w:rsid w:val="00220F36"/>
    <w:rsid w:val="00221EA4"/>
    <w:rsid w:val="00222B49"/>
    <w:rsid w:val="00227672"/>
    <w:rsid w:val="002407FD"/>
    <w:rsid w:val="00241F43"/>
    <w:rsid w:val="0024462D"/>
    <w:rsid w:val="00244EDE"/>
    <w:rsid w:val="002456AE"/>
    <w:rsid w:val="002472ED"/>
    <w:rsid w:val="002541AD"/>
    <w:rsid w:val="002601EC"/>
    <w:rsid w:val="00260BA8"/>
    <w:rsid w:val="00262881"/>
    <w:rsid w:val="00262F4B"/>
    <w:rsid w:val="002640BE"/>
    <w:rsid w:val="00264A6C"/>
    <w:rsid w:val="002728D6"/>
    <w:rsid w:val="002742BC"/>
    <w:rsid w:val="00284626"/>
    <w:rsid w:val="00284BD2"/>
    <w:rsid w:val="002917B7"/>
    <w:rsid w:val="002A66A5"/>
    <w:rsid w:val="002B1C47"/>
    <w:rsid w:val="002B7040"/>
    <w:rsid w:val="002B7B10"/>
    <w:rsid w:val="002C239E"/>
    <w:rsid w:val="002C2E07"/>
    <w:rsid w:val="002C604C"/>
    <w:rsid w:val="002C724B"/>
    <w:rsid w:val="002C76E8"/>
    <w:rsid w:val="002D052E"/>
    <w:rsid w:val="002E23EA"/>
    <w:rsid w:val="002E3131"/>
    <w:rsid w:val="002E372A"/>
    <w:rsid w:val="002E528B"/>
    <w:rsid w:val="002F1A10"/>
    <w:rsid w:val="002F20A4"/>
    <w:rsid w:val="002F3816"/>
    <w:rsid w:val="003019F3"/>
    <w:rsid w:val="00301A88"/>
    <w:rsid w:val="003148E9"/>
    <w:rsid w:val="00320B2D"/>
    <w:rsid w:val="00322595"/>
    <w:rsid w:val="003231B2"/>
    <w:rsid w:val="00325E42"/>
    <w:rsid w:val="00330D44"/>
    <w:rsid w:val="00336AB2"/>
    <w:rsid w:val="00340445"/>
    <w:rsid w:val="003527A1"/>
    <w:rsid w:val="00355BDE"/>
    <w:rsid w:val="003574F7"/>
    <w:rsid w:val="003607F9"/>
    <w:rsid w:val="0036197A"/>
    <w:rsid w:val="003632DB"/>
    <w:rsid w:val="0036344F"/>
    <w:rsid w:val="00363A83"/>
    <w:rsid w:val="00371B77"/>
    <w:rsid w:val="00374737"/>
    <w:rsid w:val="003817A4"/>
    <w:rsid w:val="0038193B"/>
    <w:rsid w:val="003841E5"/>
    <w:rsid w:val="003858F1"/>
    <w:rsid w:val="00390806"/>
    <w:rsid w:val="0039454E"/>
    <w:rsid w:val="003A1353"/>
    <w:rsid w:val="003A36DB"/>
    <w:rsid w:val="003A39A5"/>
    <w:rsid w:val="003A4302"/>
    <w:rsid w:val="003A5D80"/>
    <w:rsid w:val="003A6A07"/>
    <w:rsid w:val="003C2F9B"/>
    <w:rsid w:val="003C4C12"/>
    <w:rsid w:val="003C54E0"/>
    <w:rsid w:val="003C6EFE"/>
    <w:rsid w:val="003D6512"/>
    <w:rsid w:val="003E535B"/>
    <w:rsid w:val="003E558E"/>
    <w:rsid w:val="003E5878"/>
    <w:rsid w:val="003E7189"/>
    <w:rsid w:val="003F6A70"/>
    <w:rsid w:val="00405B4B"/>
    <w:rsid w:val="00410766"/>
    <w:rsid w:val="00414FD4"/>
    <w:rsid w:val="00415323"/>
    <w:rsid w:val="00415E4B"/>
    <w:rsid w:val="00416D75"/>
    <w:rsid w:val="00417E71"/>
    <w:rsid w:val="00423E38"/>
    <w:rsid w:val="00424D3D"/>
    <w:rsid w:val="00426AE6"/>
    <w:rsid w:val="00431994"/>
    <w:rsid w:val="0043327F"/>
    <w:rsid w:val="004367A4"/>
    <w:rsid w:val="00437702"/>
    <w:rsid w:val="00440514"/>
    <w:rsid w:val="00444072"/>
    <w:rsid w:val="00445824"/>
    <w:rsid w:val="0045411E"/>
    <w:rsid w:val="00455824"/>
    <w:rsid w:val="00463F29"/>
    <w:rsid w:val="0046519B"/>
    <w:rsid w:val="00465A8D"/>
    <w:rsid w:val="0046760F"/>
    <w:rsid w:val="00470E56"/>
    <w:rsid w:val="004734E1"/>
    <w:rsid w:val="0047451B"/>
    <w:rsid w:val="00474849"/>
    <w:rsid w:val="00476E16"/>
    <w:rsid w:val="0048585B"/>
    <w:rsid w:val="00485AFB"/>
    <w:rsid w:val="00486247"/>
    <w:rsid w:val="00494BFA"/>
    <w:rsid w:val="004966E7"/>
    <w:rsid w:val="004A0BC7"/>
    <w:rsid w:val="004A2479"/>
    <w:rsid w:val="004B2471"/>
    <w:rsid w:val="004B54D6"/>
    <w:rsid w:val="004B644E"/>
    <w:rsid w:val="004C0293"/>
    <w:rsid w:val="004C0956"/>
    <w:rsid w:val="004C7A9D"/>
    <w:rsid w:val="004C7C04"/>
    <w:rsid w:val="004D1EC9"/>
    <w:rsid w:val="004D4DDD"/>
    <w:rsid w:val="004E0853"/>
    <w:rsid w:val="004E49F4"/>
    <w:rsid w:val="004E5F7E"/>
    <w:rsid w:val="004F509F"/>
    <w:rsid w:val="004F6040"/>
    <w:rsid w:val="004F6D40"/>
    <w:rsid w:val="00500E73"/>
    <w:rsid w:val="00507D0C"/>
    <w:rsid w:val="00512C3D"/>
    <w:rsid w:val="0051416D"/>
    <w:rsid w:val="005162FF"/>
    <w:rsid w:val="00523A38"/>
    <w:rsid w:val="005303C3"/>
    <w:rsid w:val="005305CD"/>
    <w:rsid w:val="00534B29"/>
    <w:rsid w:val="00536C36"/>
    <w:rsid w:val="0053770E"/>
    <w:rsid w:val="00537E1C"/>
    <w:rsid w:val="005463EE"/>
    <w:rsid w:val="00551A39"/>
    <w:rsid w:val="00553A44"/>
    <w:rsid w:val="005545A7"/>
    <w:rsid w:val="00555CE1"/>
    <w:rsid w:val="00556E38"/>
    <w:rsid w:val="00562205"/>
    <w:rsid w:val="00562538"/>
    <w:rsid w:val="005625E4"/>
    <w:rsid w:val="00565A63"/>
    <w:rsid w:val="005776CE"/>
    <w:rsid w:val="00584676"/>
    <w:rsid w:val="005908F1"/>
    <w:rsid w:val="00591C5F"/>
    <w:rsid w:val="00593147"/>
    <w:rsid w:val="00595FB5"/>
    <w:rsid w:val="005A413E"/>
    <w:rsid w:val="005A617C"/>
    <w:rsid w:val="005A66BB"/>
    <w:rsid w:val="005A7477"/>
    <w:rsid w:val="005B09F5"/>
    <w:rsid w:val="005B22C2"/>
    <w:rsid w:val="005B24D1"/>
    <w:rsid w:val="005B6697"/>
    <w:rsid w:val="005B6793"/>
    <w:rsid w:val="005C34E1"/>
    <w:rsid w:val="005C4F3B"/>
    <w:rsid w:val="005C5791"/>
    <w:rsid w:val="005C610C"/>
    <w:rsid w:val="005C6EAD"/>
    <w:rsid w:val="005D1FF3"/>
    <w:rsid w:val="005D60F4"/>
    <w:rsid w:val="005D713C"/>
    <w:rsid w:val="005D7173"/>
    <w:rsid w:val="005E1004"/>
    <w:rsid w:val="005F4C9D"/>
    <w:rsid w:val="00600E3D"/>
    <w:rsid w:val="00603151"/>
    <w:rsid w:val="006035AE"/>
    <w:rsid w:val="00606071"/>
    <w:rsid w:val="00613312"/>
    <w:rsid w:val="006163C7"/>
    <w:rsid w:val="006178FC"/>
    <w:rsid w:val="0062110D"/>
    <w:rsid w:val="006229C8"/>
    <w:rsid w:val="00635564"/>
    <w:rsid w:val="00636534"/>
    <w:rsid w:val="00637AAA"/>
    <w:rsid w:val="00642207"/>
    <w:rsid w:val="00647145"/>
    <w:rsid w:val="006476B4"/>
    <w:rsid w:val="006506BD"/>
    <w:rsid w:val="006534E8"/>
    <w:rsid w:val="00660F0D"/>
    <w:rsid w:val="006626D9"/>
    <w:rsid w:val="00663178"/>
    <w:rsid w:val="00670A27"/>
    <w:rsid w:val="00673930"/>
    <w:rsid w:val="00685CFD"/>
    <w:rsid w:val="00686897"/>
    <w:rsid w:val="00686D3A"/>
    <w:rsid w:val="00686E73"/>
    <w:rsid w:val="006914AC"/>
    <w:rsid w:val="00692F18"/>
    <w:rsid w:val="00693D9D"/>
    <w:rsid w:val="006953B7"/>
    <w:rsid w:val="006963A0"/>
    <w:rsid w:val="00697C8E"/>
    <w:rsid w:val="006A2926"/>
    <w:rsid w:val="006A2D28"/>
    <w:rsid w:val="006A3396"/>
    <w:rsid w:val="006A7E93"/>
    <w:rsid w:val="006B22CA"/>
    <w:rsid w:val="006C278D"/>
    <w:rsid w:val="006C288C"/>
    <w:rsid w:val="006C2952"/>
    <w:rsid w:val="006C3D50"/>
    <w:rsid w:val="006D02FD"/>
    <w:rsid w:val="006D0B8C"/>
    <w:rsid w:val="006D0E7B"/>
    <w:rsid w:val="006D0FC5"/>
    <w:rsid w:val="006D53ED"/>
    <w:rsid w:val="006E25D7"/>
    <w:rsid w:val="006F2502"/>
    <w:rsid w:val="006F4D23"/>
    <w:rsid w:val="006F5252"/>
    <w:rsid w:val="007041EA"/>
    <w:rsid w:val="007052E9"/>
    <w:rsid w:val="0070768F"/>
    <w:rsid w:val="00711363"/>
    <w:rsid w:val="00711A8A"/>
    <w:rsid w:val="00711F65"/>
    <w:rsid w:val="0071343B"/>
    <w:rsid w:val="007222ED"/>
    <w:rsid w:val="00726F15"/>
    <w:rsid w:val="007313E3"/>
    <w:rsid w:val="00734365"/>
    <w:rsid w:val="00734A4B"/>
    <w:rsid w:val="007361E5"/>
    <w:rsid w:val="0073620F"/>
    <w:rsid w:val="007376E6"/>
    <w:rsid w:val="0074061A"/>
    <w:rsid w:val="00741BE8"/>
    <w:rsid w:val="007442F4"/>
    <w:rsid w:val="00744817"/>
    <w:rsid w:val="00747EF8"/>
    <w:rsid w:val="00752BEA"/>
    <w:rsid w:val="00753D06"/>
    <w:rsid w:val="00754282"/>
    <w:rsid w:val="00761643"/>
    <w:rsid w:val="00764357"/>
    <w:rsid w:val="00766B51"/>
    <w:rsid w:val="0076722E"/>
    <w:rsid w:val="007735FD"/>
    <w:rsid w:val="00784B34"/>
    <w:rsid w:val="0078721A"/>
    <w:rsid w:val="007923F7"/>
    <w:rsid w:val="007A061B"/>
    <w:rsid w:val="007A7C7C"/>
    <w:rsid w:val="007B0877"/>
    <w:rsid w:val="007B6E9B"/>
    <w:rsid w:val="007C2679"/>
    <w:rsid w:val="007C4BFC"/>
    <w:rsid w:val="007C65C8"/>
    <w:rsid w:val="007D37CA"/>
    <w:rsid w:val="007D532E"/>
    <w:rsid w:val="007D7A35"/>
    <w:rsid w:val="007E4655"/>
    <w:rsid w:val="007E6D77"/>
    <w:rsid w:val="007E7A88"/>
    <w:rsid w:val="007F7275"/>
    <w:rsid w:val="00804C44"/>
    <w:rsid w:val="00804CD2"/>
    <w:rsid w:val="00812FB1"/>
    <w:rsid w:val="00813BAC"/>
    <w:rsid w:val="00816439"/>
    <w:rsid w:val="00816711"/>
    <w:rsid w:val="00817973"/>
    <w:rsid w:val="00817C90"/>
    <w:rsid w:val="00817E2C"/>
    <w:rsid w:val="00825FBC"/>
    <w:rsid w:val="00831FD1"/>
    <w:rsid w:val="00835320"/>
    <w:rsid w:val="0083785E"/>
    <w:rsid w:val="00841A16"/>
    <w:rsid w:val="008475D4"/>
    <w:rsid w:val="0085154F"/>
    <w:rsid w:val="00871EE8"/>
    <w:rsid w:val="0087239F"/>
    <w:rsid w:val="0087481E"/>
    <w:rsid w:val="00876617"/>
    <w:rsid w:val="00876AD8"/>
    <w:rsid w:val="00880620"/>
    <w:rsid w:val="008868EA"/>
    <w:rsid w:val="00890001"/>
    <w:rsid w:val="00891B38"/>
    <w:rsid w:val="008A4CE1"/>
    <w:rsid w:val="008A5029"/>
    <w:rsid w:val="008A5FA5"/>
    <w:rsid w:val="008A6D01"/>
    <w:rsid w:val="008B1A47"/>
    <w:rsid w:val="008B3B3E"/>
    <w:rsid w:val="008B5DFE"/>
    <w:rsid w:val="008B61B8"/>
    <w:rsid w:val="008C006B"/>
    <w:rsid w:val="008C5A19"/>
    <w:rsid w:val="008D20D5"/>
    <w:rsid w:val="008D2CA1"/>
    <w:rsid w:val="008D54F4"/>
    <w:rsid w:val="008D6CCD"/>
    <w:rsid w:val="008F1ABC"/>
    <w:rsid w:val="008F21E4"/>
    <w:rsid w:val="008F3726"/>
    <w:rsid w:val="008F6B2F"/>
    <w:rsid w:val="008F6E0B"/>
    <w:rsid w:val="009045BA"/>
    <w:rsid w:val="0090486C"/>
    <w:rsid w:val="0090700D"/>
    <w:rsid w:val="00910450"/>
    <w:rsid w:val="009116C9"/>
    <w:rsid w:val="0091197A"/>
    <w:rsid w:val="00911CE1"/>
    <w:rsid w:val="00913E09"/>
    <w:rsid w:val="00921914"/>
    <w:rsid w:val="00921D88"/>
    <w:rsid w:val="00923B82"/>
    <w:rsid w:val="00925CC4"/>
    <w:rsid w:val="00932C71"/>
    <w:rsid w:val="009371A5"/>
    <w:rsid w:val="00940C71"/>
    <w:rsid w:val="00941B8E"/>
    <w:rsid w:val="009441A8"/>
    <w:rsid w:val="009472A4"/>
    <w:rsid w:val="009540B7"/>
    <w:rsid w:val="009547DF"/>
    <w:rsid w:val="00954952"/>
    <w:rsid w:val="00956F19"/>
    <w:rsid w:val="009579BD"/>
    <w:rsid w:val="0096315B"/>
    <w:rsid w:val="00967FE1"/>
    <w:rsid w:val="009711B2"/>
    <w:rsid w:val="009751E9"/>
    <w:rsid w:val="009776B5"/>
    <w:rsid w:val="00982B23"/>
    <w:rsid w:val="00985523"/>
    <w:rsid w:val="009951AC"/>
    <w:rsid w:val="00995FC4"/>
    <w:rsid w:val="00997987"/>
    <w:rsid w:val="009A0F58"/>
    <w:rsid w:val="009A2157"/>
    <w:rsid w:val="009A23EF"/>
    <w:rsid w:val="009A48CD"/>
    <w:rsid w:val="009A5563"/>
    <w:rsid w:val="009A6795"/>
    <w:rsid w:val="009A6DDD"/>
    <w:rsid w:val="009A790F"/>
    <w:rsid w:val="009B06F0"/>
    <w:rsid w:val="009B0850"/>
    <w:rsid w:val="009B2AC3"/>
    <w:rsid w:val="009B2E21"/>
    <w:rsid w:val="009B52A2"/>
    <w:rsid w:val="009C0215"/>
    <w:rsid w:val="009C0AB3"/>
    <w:rsid w:val="009C1E8E"/>
    <w:rsid w:val="009C372A"/>
    <w:rsid w:val="009C50D4"/>
    <w:rsid w:val="009C6C65"/>
    <w:rsid w:val="009D2B67"/>
    <w:rsid w:val="009E574D"/>
    <w:rsid w:val="009F0D3C"/>
    <w:rsid w:val="009F385A"/>
    <w:rsid w:val="009F5668"/>
    <w:rsid w:val="00A04811"/>
    <w:rsid w:val="00A05981"/>
    <w:rsid w:val="00A074FD"/>
    <w:rsid w:val="00A15AB6"/>
    <w:rsid w:val="00A2083E"/>
    <w:rsid w:val="00A209C2"/>
    <w:rsid w:val="00A21D56"/>
    <w:rsid w:val="00A25698"/>
    <w:rsid w:val="00A272FB"/>
    <w:rsid w:val="00A35B96"/>
    <w:rsid w:val="00A36E5F"/>
    <w:rsid w:val="00A4073A"/>
    <w:rsid w:val="00A43282"/>
    <w:rsid w:val="00A45C43"/>
    <w:rsid w:val="00A45CE8"/>
    <w:rsid w:val="00A47D7B"/>
    <w:rsid w:val="00A50198"/>
    <w:rsid w:val="00A57CE5"/>
    <w:rsid w:val="00A609B9"/>
    <w:rsid w:val="00A666DC"/>
    <w:rsid w:val="00A70BB5"/>
    <w:rsid w:val="00A81376"/>
    <w:rsid w:val="00A8193B"/>
    <w:rsid w:val="00A82166"/>
    <w:rsid w:val="00A8661E"/>
    <w:rsid w:val="00A86E42"/>
    <w:rsid w:val="00A87636"/>
    <w:rsid w:val="00A91A94"/>
    <w:rsid w:val="00A968EB"/>
    <w:rsid w:val="00A96D77"/>
    <w:rsid w:val="00A9713F"/>
    <w:rsid w:val="00A971B1"/>
    <w:rsid w:val="00A97E82"/>
    <w:rsid w:val="00AA68A2"/>
    <w:rsid w:val="00AA6E2E"/>
    <w:rsid w:val="00AB2CCD"/>
    <w:rsid w:val="00AC3BA7"/>
    <w:rsid w:val="00AC6CBB"/>
    <w:rsid w:val="00AC6E35"/>
    <w:rsid w:val="00AC7F72"/>
    <w:rsid w:val="00AD6FD8"/>
    <w:rsid w:val="00AE0457"/>
    <w:rsid w:val="00AE4985"/>
    <w:rsid w:val="00AE4B73"/>
    <w:rsid w:val="00AE6E69"/>
    <w:rsid w:val="00AF03A0"/>
    <w:rsid w:val="00AF15AC"/>
    <w:rsid w:val="00AF1965"/>
    <w:rsid w:val="00AF58E9"/>
    <w:rsid w:val="00B10DBD"/>
    <w:rsid w:val="00B13F8F"/>
    <w:rsid w:val="00B16D8D"/>
    <w:rsid w:val="00B217DA"/>
    <w:rsid w:val="00B261CB"/>
    <w:rsid w:val="00B26D8A"/>
    <w:rsid w:val="00B26E26"/>
    <w:rsid w:val="00B32780"/>
    <w:rsid w:val="00B351F5"/>
    <w:rsid w:val="00B40435"/>
    <w:rsid w:val="00B454B9"/>
    <w:rsid w:val="00B45855"/>
    <w:rsid w:val="00B45A38"/>
    <w:rsid w:val="00B47569"/>
    <w:rsid w:val="00B47B6A"/>
    <w:rsid w:val="00B50C4E"/>
    <w:rsid w:val="00B531E1"/>
    <w:rsid w:val="00B71A82"/>
    <w:rsid w:val="00B73D46"/>
    <w:rsid w:val="00B75042"/>
    <w:rsid w:val="00B7776D"/>
    <w:rsid w:val="00B80159"/>
    <w:rsid w:val="00B83644"/>
    <w:rsid w:val="00B83B86"/>
    <w:rsid w:val="00B91B77"/>
    <w:rsid w:val="00B931D7"/>
    <w:rsid w:val="00B94765"/>
    <w:rsid w:val="00B95A15"/>
    <w:rsid w:val="00B96B7B"/>
    <w:rsid w:val="00BB249C"/>
    <w:rsid w:val="00BB312A"/>
    <w:rsid w:val="00BB738F"/>
    <w:rsid w:val="00BB7951"/>
    <w:rsid w:val="00BC192F"/>
    <w:rsid w:val="00BC4219"/>
    <w:rsid w:val="00BD0265"/>
    <w:rsid w:val="00BD0E38"/>
    <w:rsid w:val="00BD3BF1"/>
    <w:rsid w:val="00BD4005"/>
    <w:rsid w:val="00BD443F"/>
    <w:rsid w:val="00BD601A"/>
    <w:rsid w:val="00BE2C8F"/>
    <w:rsid w:val="00BE535D"/>
    <w:rsid w:val="00BF0570"/>
    <w:rsid w:val="00BF4BCA"/>
    <w:rsid w:val="00BF5843"/>
    <w:rsid w:val="00BF7E69"/>
    <w:rsid w:val="00C02B57"/>
    <w:rsid w:val="00C033BB"/>
    <w:rsid w:val="00C052C6"/>
    <w:rsid w:val="00C05652"/>
    <w:rsid w:val="00C21DEC"/>
    <w:rsid w:val="00C32DB6"/>
    <w:rsid w:val="00C33647"/>
    <w:rsid w:val="00C431C4"/>
    <w:rsid w:val="00C456DF"/>
    <w:rsid w:val="00C509AE"/>
    <w:rsid w:val="00C52E99"/>
    <w:rsid w:val="00C57C2B"/>
    <w:rsid w:val="00C6007C"/>
    <w:rsid w:val="00C629F6"/>
    <w:rsid w:val="00C665CC"/>
    <w:rsid w:val="00C73630"/>
    <w:rsid w:val="00C77255"/>
    <w:rsid w:val="00C775B4"/>
    <w:rsid w:val="00C77D0B"/>
    <w:rsid w:val="00C82ABC"/>
    <w:rsid w:val="00C82E86"/>
    <w:rsid w:val="00C835C8"/>
    <w:rsid w:val="00C8433D"/>
    <w:rsid w:val="00C87F7D"/>
    <w:rsid w:val="00C93DFB"/>
    <w:rsid w:val="00C94419"/>
    <w:rsid w:val="00C95BBA"/>
    <w:rsid w:val="00C95F5C"/>
    <w:rsid w:val="00C97B08"/>
    <w:rsid w:val="00CA1651"/>
    <w:rsid w:val="00CA40DE"/>
    <w:rsid w:val="00CA6B7C"/>
    <w:rsid w:val="00CB1D8A"/>
    <w:rsid w:val="00CB2157"/>
    <w:rsid w:val="00CB333F"/>
    <w:rsid w:val="00CC18B8"/>
    <w:rsid w:val="00CD2559"/>
    <w:rsid w:val="00CD3A54"/>
    <w:rsid w:val="00CE48C5"/>
    <w:rsid w:val="00CE6A2A"/>
    <w:rsid w:val="00CF01C1"/>
    <w:rsid w:val="00CF104F"/>
    <w:rsid w:val="00CF3C04"/>
    <w:rsid w:val="00CF4C1E"/>
    <w:rsid w:val="00CF7CB6"/>
    <w:rsid w:val="00D05594"/>
    <w:rsid w:val="00D11195"/>
    <w:rsid w:val="00D143C7"/>
    <w:rsid w:val="00D22A93"/>
    <w:rsid w:val="00D3008B"/>
    <w:rsid w:val="00D3394F"/>
    <w:rsid w:val="00D3591C"/>
    <w:rsid w:val="00D36CD6"/>
    <w:rsid w:val="00D40364"/>
    <w:rsid w:val="00D4043B"/>
    <w:rsid w:val="00D45938"/>
    <w:rsid w:val="00D5250B"/>
    <w:rsid w:val="00D52B9A"/>
    <w:rsid w:val="00D54160"/>
    <w:rsid w:val="00D56A2A"/>
    <w:rsid w:val="00D577AD"/>
    <w:rsid w:val="00D623C6"/>
    <w:rsid w:val="00D62FEA"/>
    <w:rsid w:val="00D63941"/>
    <w:rsid w:val="00D660CB"/>
    <w:rsid w:val="00D66912"/>
    <w:rsid w:val="00D716E6"/>
    <w:rsid w:val="00D72664"/>
    <w:rsid w:val="00D76F38"/>
    <w:rsid w:val="00D81209"/>
    <w:rsid w:val="00D824BC"/>
    <w:rsid w:val="00D826F0"/>
    <w:rsid w:val="00D9787A"/>
    <w:rsid w:val="00DA2734"/>
    <w:rsid w:val="00DA63EA"/>
    <w:rsid w:val="00DB0D40"/>
    <w:rsid w:val="00DB3031"/>
    <w:rsid w:val="00DB5BF1"/>
    <w:rsid w:val="00DB702F"/>
    <w:rsid w:val="00DC01A6"/>
    <w:rsid w:val="00DC1836"/>
    <w:rsid w:val="00DC58F4"/>
    <w:rsid w:val="00DC5C73"/>
    <w:rsid w:val="00DC65BD"/>
    <w:rsid w:val="00DC7F8F"/>
    <w:rsid w:val="00DD57B9"/>
    <w:rsid w:val="00DD74BB"/>
    <w:rsid w:val="00DD7512"/>
    <w:rsid w:val="00DE224F"/>
    <w:rsid w:val="00DE2843"/>
    <w:rsid w:val="00DE2B11"/>
    <w:rsid w:val="00DF0940"/>
    <w:rsid w:val="00E000EF"/>
    <w:rsid w:val="00E01302"/>
    <w:rsid w:val="00E03231"/>
    <w:rsid w:val="00E045DD"/>
    <w:rsid w:val="00E04B0B"/>
    <w:rsid w:val="00E1081C"/>
    <w:rsid w:val="00E10CE2"/>
    <w:rsid w:val="00E124D3"/>
    <w:rsid w:val="00E12ECB"/>
    <w:rsid w:val="00E17E09"/>
    <w:rsid w:val="00E26371"/>
    <w:rsid w:val="00E31826"/>
    <w:rsid w:val="00E324EC"/>
    <w:rsid w:val="00E456A8"/>
    <w:rsid w:val="00E5340E"/>
    <w:rsid w:val="00E552A7"/>
    <w:rsid w:val="00E55EF2"/>
    <w:rsid w:val="00E562A2"/>
    <w:rsid w:val="00E624CB"/>
    <w:rsid w:val="00E649E3"/>
    <w:rsid w:val="00E67FDB"/>
    <w:rsid w:val="00E729DD"/>
    <w:rsid w:val="00E73B40"/>
    <w:rsid w:val="00E76E2D"/>
    <w:rsid w:val="00E839B2"/>
    <w:rsid w:val="00E94226"/>
    <w:rsid w:val="00EA01B3"/>
    <w:rsid w:val="00EA0E1C"/>
    <w:rsid w:val="00EA15D8"/>
    <w:rsid w:val="00EB0D9F"/>
    <w:rsid w:val="00EB14F7"/>
    <w:rsid w:val="00EB1EE5"/>
    <w:rsid w:val="00EB2FD6"/>
    <w:rsid w:val="00EB4340"/>
    <w:rsid w:val="00EB4606"/>
    <w:rsid w:val="00EC15B7"/>
    <w:rsid w:val="00EC50F5"/>
    <w:rsid w:val="00EC6028"/>
    <w:rsid w:val="00ED0B2D"/>
    <w:rsid w:val="00EE0399"/>
    <w:rsid w:val="00EE6573"/>
    <w:rsid w:val="00EF2333"/>
    <w:rsid w:val="00EF2F13"/>
    <w:rsid w:val="00EF4CB5"/>
    <w:rsid w:val="00EF53EA"/>
    <w:rsid w:val="00EF5743"/>
    <w:rsid w:val="00EF59FA"/>
    <w:rsid w:val="00F06099"/>
    <w:rsid w:val="00F061C9"/>
    <w:rsid w:val="00F121BA"/>
    <w:rsid w:val="00F20EBD"/>
    <w:rsid w:val="00F22E92"/>
    <w:rsid w:val="00F25BBE"/>
    <w:rsid w:val="00F25DEE"/>
    <w:rsid w:val="00F26611"/>
    <w:rsid w:val="00F27032"/>
    <w:rsid w:val="00F31F3D"/>
    <w:rsid w:val="00F4624C"/>
    <w:rsid w:val="00F55635"/>
    <w:rsid w:val="00F676AA"/>
    <w:rsid w:val="00F678A1"/>
    <w:rsid w:val="00F73DD5"/>
    <w:rsid w:val="00F74B7C"/>
    <w:rsid w:val="00F765B0"/>
    <w:rsid w:val="00F775A4"/>
    <w:rsid w:val="00F82948"/>
    <w:rsid w:val="00F83BDE"/>
    <w:rsid w:val="00F84A04"/>
    <w:rsid w:val="00F87F92"/>
    <w:rsid w:val="00F91109"/>
    <w:rsid w:val="00FA23C7"/>
    <w:rsid w:val="00FA42C5"/>
    <w:rsid w:val="00FB02FD"/>
    <w:rsid w:val="00FB04AF"/>
    <w:rsid w:val="00FB47E1"/>
    <w:rsid w:val="00FC0F2D"/>
    <w:rsid w:val="00FC18A2"/>
    <w:rsid w:val="00FD50DC"/>
    <w:rsid w:val="00FD5B6E"/>
    <w:rsid w:val="00FD65C1"/>
    <w:rsid w:val="00FF3B71"/>
    <w:rsid w:val="00F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  <w:style w:type="paragraph" w:customStyle="1" w:styleId="PL">
    <w:name w:val="PL"/>
    <w:link w:val="PLChar"/>
    <w:rsid w:val="002E52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hAnsi="Courier New" w:cs="Times New Roman"/>
      <w:noProof/>
      <w:kern w:val="0"/>
      <w:sz w:val="16"/>
      <w:szCs w:val="20"/>
    </w:rPr>
  </w:style>
  <w:style w:type="character" w:customStyle="1" w:styleId="PLChar">
    <w:name w:val="PL Char"/>
    <w:link w:val="PL"/>
    <w:rsid w:val="002E528B"/>
    <w:rPr>
      <w:rFonts w:ascii="Courier New" w:hAnsi="Courier New" w:cs="Times New Roman"/>
      <w:noProof/>
      <w:kern w:val="0"/>
      <w:sz w:val="16"/>
      <w:szCs w:val="20"/>
    </w:rPr>
  </w:style>
  <w:style w:type="paragraph" w:customStyle="1" w:styleId="TAH">
    <w:name w:val="TAH"/>
    <w:basedOn w:val="a"/>
    <w:link w:val="TAHCar"/>
    <w:rsid w:val="001D0B81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hAnsi="Arial" w:cs="Times New Roman"/>
      <w:b/>
      <w:kern w:val="0"/>
      <w:sz w:val="18"/>
      <w:szCs w:val="20"/>
      <w:lang w:val="x-none" w:eastAsia="x-none"/>
    </w:rPr>
  </w:style>
  <w:style w:type="paragraph" w:customStyle="1" w:styleId="TALCharChar">
    <w:name w:val="TAL Char Char"/>
    <w:basedOn w:val="a"/>
    <w:link w:val="TALCharCharChar"/>
    <w:rsid w:val="001D0B81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CharChar">
    <w:name w:val="TAL Char Char Char"/>
    <w:link w:val="TALCharChar"/>
    <w:rsid w:val="001D0B8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1D0B81"/>
    <w:rPr>
      <w:rFonts w:ascii="Arial" w:hAnsi="Arial" w:cs="Times New Roman"/>
      <w:b/>
      <w:kern w:val="0"/>
      <w:sz w:val="18"/>
      <w:szCs w:val="20"/>
      <w:lang w:val="x-none" w:eastAsia="x-none"/>
    </w:rPr>
  </w:style>
  <w:style w:type="paragraph" w:styleId="ab">
    <w:name w:val="List Paragraph"/>
    <w:basedOn w:val="a"/>
    <w:uiPriority w:val="34"/>
    <w:qFormat/>
    <w:rsid w:val="00E10CE2"/>
    <w:pPr>
      <w:widowControl/>
      <w:wordWrap/>
      <w:autoSpaceDE/>
      <w:autoSpaceDN/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0B3F3A"/>
    <w:pPr>
      <w:widowControl/>
      <w:wordWrap/>
      <w:autoSpaceDE/>
      <w:autoSpaceDN/>
      <w:spacing w:before="60" w:after="0" w:line="240" w:lineRule="auto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B3F3A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0B3F3A"/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rsid w:val="000B3F3A"/>
    <w:rPr>
      <w:rFonts w:ascii="Arial" w:eastAsia="MS Mincho" w:hAnsi="Arial" w:cs="Times New Roman"/>
      <w:noProof/>
      <w:kern w:val="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  <w:style w:type="paragraph" w:customStyle="1" w:styleId="PL">
    <w:name w:val="PL"/>
    <w:link w:val="PLChar"/>
    <w:rsid w:val="002E52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hAnsi="Courier New" w:cs="Times New Roman"/>
      <w:noProof/>
      <w:kern w:val="0"/>
      <w:sz w:val="16"/>
      <w:szCs w:val="20"/>
    </w:rPr>
  </w:style>
  <w:style w:type="character" w:customStyle="1" w:styleId="PLChar">
    <w:name w:val="PL Char"/>
    <w:link w:val="PL"/>
    <w:rsid w:val="002E528B"/>
    <w:rPr>
      <w:rFonts w:ascii="Courier New" w:hAnsi="Courier New" w:cs="Times New Roman"/>
      <w:noProof/>
      <w:kern w:val="0"/>
      <w:sz w:val="16"/>
      <w:szCs w:val="20"/>
    </w:rPr>
  </w:style>
  <w:style w:type="paragraph" w:customStyle="1" w:styleId="TAH">
    <w:name w:val="TAH"/>
    <w:basedOn w:val="a"/>
    <w:link w:val="TAHCar"/>
    <w:rsid w:val="001D0B81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hAnsi="Arial" w:cs="Times New Roman"/>
      <w:b/>
      <w:kern w:val="0"/>
      <w:sz w:val="18"/>
      <w:szCs w:val="20"/>
      <w:lang w:val="x-none" w:eastAsia="x-none"/>
    </w:rPr>
  </w:style>
  <w:style w:type="paragraph" w:customStyle="1" w:styleId="TALCharChar">
    <w:name w:val="TAL Char Char"/>
    <w:basedOn w:val="a"/>
    <w:link w:val="TALCharCharChar"/>
    <w:rsid w:val="001D0B81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CharChar">
    <w:name w:val="TAL Char Char Char"/>
    <w:link w:val="TALCharChar"/>
    <w:rsid w:val="001D0B8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1D0B81"/>
    <w:rPr>
      <w:rFonts w:ascii="Arial" w:hAnsi="Arial" w:cs="Times New Roman"/>
      <w:b/>
      <w:kern w:val="0"/>
      <w:sz w:val="18"/>
      <w:szCs w:val="20"/>
      <w:lang w:val="x-none" w:eastAsia="x-none"/>
    </w:rPr>
  </w:style>
  <w:style w:type="paragraph" w:styleId="ab">
    <w:name w:val="List Paragraph"/>
    <w:basedOn w:val="a"/>
    <w:uiPriority w:val="34"/>
    <w:qFormat/>
    <w:rsid w:val="00E10CE2"/>
    <w:pPr>
      <w:widowControl/>
      <w:wordWrap/>
      <w:autoSpaceDE/>
      <w:autoSpaceDN/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0B3F3A"/>
    <w:pPr>
      <w:widowControl/>
      <w:wordWrap/>
      <w:autoSpaceDE/>
      <w:autoSpaceDN/>
      <w:spacing w:before="60" w:after="0" w:line="240" w:lineRule="auto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B3F3A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0B3F3A"/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rsid w:val="000B3F3A"/>
    <w:rPr>
      <w:rFonts w:ascii="Arial" w:eastAsia="MS Mincho" w:hAnsi="Arial" w:cs="Times New Roman"/>
      <w:noProof/>
      <w:kern w:val="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0B4C6-9C44-4139-A3C2-5189736B9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5</Pages>
  <Words>1481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Jung-Min Moon</dc:creator>
  <cp:lastModifiedBy>BH_Jung@samsung</cp:lastModifiedBy>
  <cp:revision>45</cp:revision>
  <dcterms:created xsi:type="dcterms:W3CDTF">2016-12-13T02:32:00Z</dcterms:created>
  <dcterms:modified xsi:type="dcterms:W3CDTF">2017-02-04T06:29:00Z</dcterms:modified>
</cp:coreProperties>
</file>